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39594-2025 i Surahammars kommun</w:t>
      </w:r>
    </w:p>
    <w:p>
      <w:r>
        <w:t>Denna tillsynsbegäran behandlar höga naturvärden i avverkningsanmälan A 39594-2025 i Surahammars kommun som inkom 2025-08-21 och omfattar 7,0 ha.</w:t>
      </w:r>
    </w:p>
    <w:p>
      <w:pPr>
        <w:pStyle w:val="Caption"/>
      </w:pPr>
      <w:r>
        <w:drawing>
          <wp:inline xmlns:a="http://schemas.openxmlformats.org/drawingml/2006/main" xmlns:pic="http://schemas.openxmlformats.org/drawingml/2006/picture">
            <wp:extent cx="5486400" cy="5260436"/>
            <wp:docPr id="1" name="Picture 1"/>
            <wp:cNvGraphicFramePr>
              <a:graphicFrameLocks noChangeAspect="1"/>
            </wp:cNvGraphicFramePr>
            <a:graphic>
              <a:graphicData uri="http://schemas.openxmlformats.org/drawingml/2006/picture">
                <pic:pic>
                  <pic:nvPicPr>
                    <pic:cNvPr id="0" name="A 39594-2025 karta.png"/>
                    <pic:cNvPicPr/>
                  </pic:nvPicPr>
                  <pic:blipFill>
                    <a:blip r:embed="rId16"/>
                    <a:stretch>
                      <a:fillRect/>
                    </a:stretch>
                  </pic:blipFill>
                  <pic:spPr>
                    <a:xfrm>
                      <a:off x="0" y="0"/>
                      <a:ext cx="5486400" cy="5260436"/>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6632103, E 557398 i SWEREF 99 TM.</w:t>
      </w:r>
    </w:p>
    <w:p>
      <w:r>
        <w:t>I och inom 11 meter från avverkningsanmälan finns fynd av 11 naturvårdsarter, varav 5 är rödlistade, 6 är fridlysta, 6 är typiska (T) och 3 är signalarter (S): brunlångöra (NT, §4a), dropptaggsvamp (NT, T), gropticka (NT, T), nordfladdermus (NT, §4a), talltita (NT, §4), bronshjon (S, T), gullgröppa (S), vedticka (S, T), järpe (T, §4), tjäder (T, §4) och dvärgpipistrell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gropticka (NT, T), bronshjon (S, T), vedticka (S, T), järpe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