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tornseglare (EN, §4), stare (VU, §4), björktrast (NT, §4), buskskvätta (NT, §4), duvhök (NT, §4), havsörn (NT, §4), rosenfink (NT, §4), rödvingetrast (NT, §4), spillkråka (NT, §4), stenfalk (NT, §4), enkelbeckasin (§4), gråspett (§4), gröngöling (§4), göktyta (§4), nattskärra (§4), skogsduva (§4), trädlärka (§4) och törnskata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buskskvätta (NT, §4), duvhök (NT, §4), havsörn (NT, §4), rosenfink (NT, §4), rödvingetrast (NT, §4), spillkråka (NT, §4), stenfalk (NT, §4), enkelbeckasin (§4), gråspett (§4), gröngöling (§4), göktyta (§4), nattskärra (§4), skogsduva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