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23039-2023 i Surahammars kommun</w:t>
      </w:r>
    </w:p>
    <w:p>
      <w:r>
        <w:t>Detta dokument behandlar höga naturvärden i avverkningsanmälan A 23039-2023 i Surahammars kommun. Denna avverkningsanmälan inkom 2023-05-28 och omfattar 19,4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9 naturvårdsarter hittats: knärot (VU, §8), spillkråka (NT, §4), grönpyrola (S), plattlummer (S, §9), nattskärra (§4), åkergroda (§4a), fläcknycklar (§8), mattlummer (§9) och revlummer (§9). Av dessa är 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677129"/>
            <wp:docPr id="1" name="Picture 1"/>
            <wp:cNvGraphicFramePr>
              <a:graphicFrameLocks noChangeAspect="1"/>
            </wp:cNvGraphicFramePr>
            <a:graphic>
              <a:graphicData uri="http://schemas.openxmlformats.org/drawingml/2006/picture">
                <pic:pic>
                  <pic:nvPicPr>
                    <pic:cNvPr id="0" name="A 23039-2023 karta.png"/>
                    <pic:cNvPicPr/>
                  </pic:nvPicPr>
                  <pic:blipFill>
                    <a:blip r:embed="rId16"/>
                    <a:stretch>
                      <a:fillRect/>
                    </a:stretch>
                  </pic:blipFill>
                  <pic:spPr>
                    <a:xfrm>
                      <a:off x="0" y="0"/>
                      <a:ext cx="5486400" cy="367712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6622718, E 561137 i SWEREF 99 TM.</w:t>
      </w:r>
    </w:p>
    <w:p>
      <w:r>
        <w:rPr>
          <w:b/>
        </w:rPr>
        <w:t xml:space="preserve">Grönpyrola </w:t>
      </w:r>
      <w:r>
        <w:t>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(Nitare &amp; Skogsstyrelsen, 2019).</w:t>
      </w:r>
    </w:p>
    <w:p>
      <w:pPr>
        <w:pStyle w:val="Heading1"/>
      </w:pPr>
      <w:r>
        <w:t>Fridlysta arter</w:t>
      </w:r>
    </w:p>
    <w:p>
      <w:r>
        <w:t>Följande fridlysta arter har sina livsmiljöer och växtplatser i den avverkningsanmälda skogen: knärot (VU, §8), spillkråka (NT, §4), plattlummer (S, §9), nattskärra (§4), åkergroda (§4a), fläcknycklar (§8), mattlummer (§9) och revlummer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10 fyndplatser för knärot registrerade på Artportalen. Figur 2 visar gränserna för buffertzoner på 50 m, som behöver lämnas kring fyndplatserna för att knärotslokalerna inte ska försvinna vid en avverkning. Av det avverkningsanmälda området överlappar 2.62 ha med buffertzonerna och får av detta skäl inte avverkas.</w:t>
      </w:r>
    </w:p>
    <w:p>
      <w:pPr>
        <w:pStyle w:val="Caption"/>
      </w:pPr>
      <w:r>
        <w:drawing>
          <wp:inline xmlns:a="http://schemas.openxmlformats.org/drawingml/2006/main" xmlns:pic="http://schemas.openxmlformats.org/drawingml/2006/picture">
            <wp:extent cx="5486400" cy="4212513"/>
            <wp:docPr id="2" name="Picture 2"/>
            <wp:cNvGraphicFramePr>
              <a:graphicFrameLocks noChangeAspect="1"/>
            </wp:cNvGraphicFramePr>
            <a:graphic>
              <a:graphicData uri="http://schemas.openxmlformats.org/drawingml/2006/picture">
                <pic:pic>
                  <pic:nvPicPr>
                    <pic:cNvPr id="0" name="A 23039-2023 karta knärot.png"/>
                    <pic:cNvPicPr/>
                  </pic:nvPicPr>
                  <pic:blipFill>
                    <a:blip r:embed="rId17"/>
                    <a:stretch>
                      <a:fillRect/>
                    </a:stretch>
                  </pic:blipFill>
                  <pic:spPr>
                    <a:xfrm>
                      <a:off x="0" y="0"/>
                      <a:ext cx="5486400" cy="4212513"/>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6622718, E 561137 i SWEREF 99 TM.</w:t>
      </w:r>
    </w:p>
    <w:p>
      <w:pPr>
        <w:pStyle w:val="Caption"/>
      </w:pP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2025-07-07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