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44798-2024 i Surahammars kommun</w:t>
      </w:r>
    </w:p>
    <w:p>
      <w:r>
        <w:t>Detta klagomål behandlar höga naturvärden i avverkningsanmälan A 44798-2024 i Surahammars kommun som inkom 2024-10-09 och omfattar 4,4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6626809, E 564584 i SWEREF 99 TM.</w:t>
      </w:r>
    </w:p>
    <w:p>
      <w:r>
        <w:t>I och inom 23 meter från avverkningsanmälan finns fynd av 9 naturvårdsarter, varav 8 är rödlistade, 2 är typiska (T) och 1 är signalart (S): rosetticka (VU), brunklöver (NT), gropticka (NT, T), persiljespindling (NT), scharlakansvaxing (NT), svinrot (NT), ullticka (NT, T), vågticka (NT)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