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42-2022 i Surahammars kommun</w:t>
      </w:r>
    </w:p>
    <w:p>
      <w:r>
        <w:t>Detta klagomål behandlar höga naturvärden i samrådsanmälan S 42-2022 i Surahammars kommun som inkom 2022-01-04 och omfattar 9,8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S 42-2022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6632103, E 559198 i SWEREF 99 TM.</w:t>
      </w:r>
    </w:p>
    <w:p>
      <w:r>
        <w:t>I och inom 22 meter från samrådsanmälan finns fynd av 10 naturvårdsarter, varav 1 är rödlistad, 2 är fridlysta, 9 är typiska (T) och 2 är signalarter (S): skogshare (NT), mindre märgborre (S, T), vedticka (S, T), blåbär (T), brudborste (T), skogsstjärna (T), sotpraktbagge (T), spillkråka (T, §4), timmerticka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Skogsstjärna </w:t>
      </w:r>
      <w:r>
        <w:t xml:space="preserve">är typisk art för </w:t>
      </w:r>
      <w:r>
        <w:rPr>
          <w:i/>
        </w:rPr>
        <w:t xml:space="preserve">9190 Näringsfattig ekskog </w:t>
      </w:r>
      <w:r>
        <w:t>(SLU Artdatabanken, 2025).</w:t>
      </w:r>
    </w:p>
    <w:p>
      <w:r>
        <w:rPr>
          <w:b/>
        </w:rPr>
        <w:t>Sotpraktbagge</w:t>
      </w:r>
      <w:r>
        <w:t xml:space="preserve"> är en skalbagge vars larvutveckling sker i solexponerad bark på nyligen brandskadade eller branddödade träd, både barr- och lövträd, främst björk. Arten gynnas starkt av att spontant brunnen skog får stå kvar, och inte avverkas. Även naturvårdsbränningar kan vara mycket gynnsamma ifall stående skog i soliga lägen är tillräckligt hårt bränd. Sotpraktbagge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