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22840-2023 i Surahammars kommun</w:t>
      </w:r>
    </w:p>
    <w:p>
      <w:r>
        <w:t>Denna tillsynsbegäran behandlar höga naturvärden i avverkningsanmälan A 22840-2023 i Surahammars kommun som inkom 2023-05-26 och omfattar 4,3 ha.</w:t>
      </w:r>
    </w:p>
    <w:p>
      <w:pPr>
        <w:pStyle w:val="Caption"/>
      </w:pPr>
      <w:r>
        <w:drawing>
          <wp:inline xmlns:a="http://schemas.openxmlformats.org/drawingml/2006/main" xmlns:pic="http://schemas.openxmlformats.org/drawingml/2006/picture">
            <wp:extent cx="5486400" cy="4549376"/>
            <wp:docPr id="1" name="Picture 1"/>
            <wp:cNvGraphicFramePr>
              <a:graphicFrameLocks noChangeAspect="1"/>
            </wp:cNvGraphicFramePr>
            <a:graphic>
              <a:graphicData uri="http://schemas.openxmlformats.org/drawingml/2006/picture">
                <pic:pic>
                  <pic:nvPicPr>
                    <pic:cNvPr id="0" name="A 22840-2023 karta.png"/>
                    <pic:cNvPicPr/>
                  </pic:nvPicPr>
                  <pic:blipFill>
                    <a:blip r:embed="rId16"/>
                    <a:stretch>
                      <a:fillRect/>
                    </a:stretch>
                  </pic:blipFill>
                  <pic:spPr>
                    <a:xfrm>
                      <a:off x="0" y="0"/>
                      <a:ext cx="5486400" cy="45493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6620147, E 557215 i SWEREF 99 TM.</w:t>
      </w:r>
    </w:p>
    <w:p>
      <w:r>
        <w:t>I och inom 21 meter från avverkningsanmälan finns fynd av 7 naturvårdsarter, varav 2 är fridlysta och 6 är typiska (T): hultbräken (T), kärrviol (T), mattlummer (T, §9), skogsstjärna (T), stjärnstarr (T), vitsippa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Vitsippa</w:t>
      </w:r>
      <w:r>
        <w:t xml:space="preserve"> 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hultbräken (T), kärrviol (T), mattlummer (T, §9), skogsstjärna (T), stjärnstarr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