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920-2026 i Surahammars kommun</w:t>
      </w:r>
    </w:p>
    <w:p>
      <w:r>
        <w:t>Denna tillsynsbegäran behandlar höga naturvärden i samrådsanmälan S 920-2026 i Surahammars kommun som inkom 2026-03-30 och omfattar 66,5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S 920-2026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6624808, E 557397 i SWEREF 99 TM.</w:t>
      </w:r>
    </w:p>
    <w:p>
      <w:r>
        <w:t>I och inom 25 meter från samrådsanmälan finns fynd av 15 naturvårdsarter, varav 5 är rödlistade, 7 är fridlysta, 9 är typiska (T) och 2 är signalarter (S): dofttaggsvamp (NT, T), motaggsvamp (NT, T), skogshare (NT), tallkötticka (NT), talltita (NT, §4), bollvitmossa (S, T), grönpyrola (S, T), järpe (T, §4), kärrviol (T), linnea (T), mattlummer (T, §9), tjäder (T,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dofttaggsvamp (NT, T), motaggsvamp (NT, T), bollvitmossa (S, T), grönpyrola (S, T), järpe (T, §4), kärrviol (T), linnea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