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2453-2024 i Surahammars kommun</w:t>
      </w:r>
    </w:p>
    <w:p>
      <w:r>
        <w:t>Detta klagomål behandlar höga naturvärden i samrådsanmälan S 2453-2024 i Surahammars kommun som inkom 2024-06-27 och omfattar 117,4 ha.</w:t>
      </w:r>
    </w:p>
    <w:p>
      <w:pPr>
        <w:pStyle w:val="Caption"/>
      </w:pPr>
      <w:r>
        <w:drawing>
          <wp:inline xmlns:a="http://schemas.openxmlformats.org/drawingml/2006/main" xmlns:pic="http://schemas.openxmlformats.org/drawingml/2006/picture">
            <wp:extent cx="5486400" cy="4063483"/>
            <wp:docPr id="1" name="Picture 1"/>
            <wp:cNvGraphicFramePr>
              <a:graphicFrameLocks noChangeAspect="1"/>
            </wp:cNvGraphicFramePr>
            <a:graphic>
              <a:graphicData uri="http://schemas.openxmlformats.org/drawingml/2006/picture">
                <pic:pic>
                  <pic:nvPicPr>
                    <pic:cNvPr id="0" name="S 2453-2024 karta.png"/>
                    <pic:cNvPicPr/>
                  </pic:nvPicPr>
                  <pic:blipFill>
                    <a:blip r:embed="rId16"/>
                    <a:stretch>
                      <a:fillRect/>
                    </a:stretch>
                  </pic:blipFill>
                  <pic:spPr>
                    <a:xfrm>
                      <a:off x="0" y="0"/>
                      <a:ext cx="5486400" cy="406348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6623589, E 558729 i SWEREF 99 TM.</w:t>
      </w:r>
    </w:p>
    <w:p>
      <w:r>
        <w:t>I och inom 25 meter från samrådsanmälan finns fynd av 65 naturvårdsarter, varav 41 är rödlistade, 11 är fridlysta, 29 är typiska (T) och 16 är signalarter (S): ask (EN), gränsticka (VU, T), knärot (VU, T, §8), knölgrynna (VU), lakritsmusseron (VU, T), laxporing (VU), liten hornflikmossa (VU), skrovlig taggsvamp (VU), spadskinn (VU), torrmusseron (VU), apelsinticka (NT), dofttaggsvamp (NT, T), dropptaggsvamp (NT, T), gropticka (NT, T), gultoppig fingersvamp (NT), jungfrulin (NT), kattfotslav (NT, T), knölspindel (NT), koralltaggsvamp (NT, T), kortskaftad ärgspik (NT), kryddspindling (NT, T), kådvaxskinn (NT), kötticka (NT), mjölsvärting (NT), motaggsvamp (NT, T), orange taggsvamp (NT, T), skogshare (NT), slåtterfibbla (NT, T), spinnfingersvamp (NT), tallkötticka (NT), talltita (NT, §4), ullticka (NT, T), vaddporing (NT), vedskivlav (NT, T), vedtrappmossa (NT, T), vintertagging (NT), vippärt (NT, T), vitterspindling (NT), vågticka (NT), älg (NT), storsporig dvärgpigg (DD), blomkålssvamp (S), bollvitmossa (S, T), bronshjon (S, T), flagellkvastmossa (S, T), gullgröppa (S), gulnål (S, T), kornknutmossa (S, T), mindre märgborre (S, T), plattlummer (S, T, §9), rödgul trumpetsvamp (S), skogshakmossa (S, T), smal svampklubba (S), sotriska (S), thomsons trägnagare (S), vedticka (S, T), vågbandad barkbock (S), järpe (T, §4), mattlummer (T, §9), spillkråka (T, §4), tjäder (T, §4), orre (§4),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S 2453-2024 karta knärot.png"/>
                    <pic:cNvPicPr/>
                  </pic:nvPicPr>
                  <pic:blipFill>
                    <a:blip r:embed="rId17"/>
                    <a:stretch>
                      <a:fillRect/>
                    </a:stretch>
                  </pic:blipFill>
                  <pic:spPr>
                    <a:xfrm>
                      <a:off x="0" y="0"/>
                      <a:ext cx="5486400" cy="66800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6623589, E 558729 i SWEREF 99 TM.</w:t>
      </w:r>
    </w:p>
    <w:p>
      <w:r>
        <w:rPr>
          <w:b/>
        </w:rPr>
        <w:t>Knölgrynna (VU)</w:t>
      </w:r>
      <w:r>
        <w:t xml:space="preserve"> är en vedrötande svamp som lever på starkt multnade stammar och grenar av barrträd i blåbärsgranskog med inslag av tall. Status och hotbild oklar, men uppenbart en ytterst sällsynt art med majoriteten av fynden gjorda i äldre skog. Missgynnas främst av brist på död ved och sjunkande habitatkvalité i barrskog. Arten skulle gynnas av att fler områden med äldre barrskog skyddas i södra Sverige. Kända lokaler bör skyddas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57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65 naturvårdsarter varav 41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