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46468-2024 i Surahammars kommun</w:t>
      </w:r>
    </w:p>
    <w:p>
      <w:r>
        <w:t>Denna tillsynsbegäran behandlar höga naturvärden i avverkningsanmälan A 46468-2024 i Surahammars kommun som inkom 2024-10-17 och omfattar 9,0 ha.</w:t>
      </w:r>
    </w:p>
    <w:p>
      <w:pPr>
        <w:pStyle w:val="Caption"/>
      </w:pPr>
      <w:r>
        <w:drawing>
          <wp:inline xmlns:a="http://schemas.openxmlformats.org/drawingml/2006/main" xmlns:pic="http://schemas.openxmlformats.org/drawingml/2006/picture">
            <wp:extent cx="5458454" cy="5724000"/>
            <wp:docPr id="1" name="Picture 1"/>
            <wp:cNvGraphicFramePr>
              <a:graphicFrameLocks noChangeAspect="1"/>
            </wp:cNvGraphicFramePr>
            <a:graphic>
              <a:graphicData uri="http://schemas.openxmlformats.org/drawingml/2006/picture">
                <pic:pic>
                  <pic:nvPicPr>
                    <pic:cNvPr id="0" name="A 46468-2024 karta.png"/>
                    <pic:cNvPicPr/>
                  </pic:nvPicPr>
                  <pic:blipFill>
                    <a:blip r:embed="rId16"/>
                    <a:stretch>
                      <a:fillRect/>
                    </a:stretch>
                  </pic:blipFill>
                  <pic:spPr>
                    <a:xfrm>
                      <a:off x="0" y="0"/>
                      <a:ext cx="5458454"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6630495, E 561389 i SWEREF 99 TM.</w:t>
      </w:r>
    </w:p>
    <w:p>
      <w:r>
        <w:t>I och inom 20 meter från avverkningsanmälan finns fynd av 28 naturvårdsarter, varav 10 är rödlistade, 12 är fridlysta, 16 är typiska (T) och 7 är signalarter (S): barrpraktbagge (NT), dropptaggsvamp (NT, T), furustumpbagge (NT), motaggsvamp (NT, T), orange taggsvamp (NT, T), skarp dropptaggsvamp (NT), sotvaxskivling (NT), sparvuggla (NT, §4), talltita (NT, §4), vedskivlav (NT, T), bronshjon (S, T), grönpyrola (S, T), mindre märgborre (S, T), thomsons trägnagare (S), toppvaxing (S), trådticka (S, T), vedticka (S, T), mattlummer (T, §9), nattskärra (T, §4), spillkråka (T, §4), stjärtmes (T, §4), timmerticka (T), tjäder (T, §4), tofsmes (T, §4), gröngöling (§4), kråka (§4),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Barrpraktbagge (NT)</w:t>
      </w:r>
      <w:r>
        <w:t xml:space="preserve"> är en skalbagge vars larvutveckling sker under bark på nyligen döda, solexponerade stammar av barrträd, i Sverige gran och tall. Arten missgynnas av bristen på solbelyst, färsk barrträdsved i skogslandskapet. Områden där stormfällningar eller skogsbrand skett, bör lämnas orörda utan uttag av virke, exempelvis genom naturvårdsavtal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Furustumpbagge (NT) </w:t>
      </w:r>
      <w:r>
        <w:t>är en rovlevande skalbagge som lever i gångarna av barkborrar under barken på döda eller döende barrträd, huvudsakligen tall men även gran. Arten är noterad i anknytning till flera olika barkborrearter såsom mindre och större märgborre, blank dvärgborre</w:t>
      </w:r>
      <w:r>
        <w:rPr>
          <w:i/>
        </w:rPr>
        <w:t>,</w:t>
      </w:r>
      <w:r>
        <w:t xml:space="preserve"> avlång barkborre (VU)</w:t>
      </w:r>
      <w:r>
        <w:rPr>
          <w:i/>
        </w:rPr>
        <w:t xml:space="preserve"> </w:t>
      </w:r>
      <w:r>
        <w:t>och granbarkborre. Mycket tyder på att arten är bunden till naturskogar och har speciella krav som inte kan tillgodoses genom normalt, rationellt skogsbruk. Naturskogar med barrträd bör skyddas i hela landet. Likaså bör vindfällen och stående, barkborreangripna träd sparas i lämplig omfattning (SLU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Sotvaxskivling (NT)</w:t>
      </w:r>
      <w:r>
        <w:t xml:space="preserve"> bildar mykorrhiza med gran och tall i barrskogar med lång trädkontinuitet. Den totala populationen i landet har minskat och bedöms fortsätta minska till följd av avverkning av äldre barrskogar. Arten har begränsad förmåga att återetablera sig efter slutavverkning eller andra storskaliga skogsbruksåtgärder. Det finns inga indikationer på att den långsiktigt kan etablera eller reproducera sig i skogsbestånd som brukas med trakthyggesmetoder, markberedning, gödsling eller föryngring med förädlat plantmaterial (SLU Artdatabanken, 2026).</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Mattlummer (§9)</w:t>
      </w:r>
      <w:r>
        <w:t xml:space="preserve"> är typisk art för </w:t>
      </w:r>
      <w:r>
        <w:rPr>
          <w:i/>
        </w:rPr>
        <w:t xml:space="preserve">9010 Taiga </w:t>
      </w:r>
      <w:r>
        <w:t>(SLU Artdatabanken, 2025).</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Stjärtmes (§4)</w:t>
      </w:r>
      <w:r>
        <w:t xml:space="preserve"> häckar i löv- och blandskog. Studier har visat att den behöver ca 15 % medelålders till äldre lövrika bestånd (&gt;50 % löv), om avståndet mellan bestånden är 500 m. Stjärtmes är fridlyst enligt 4§ artskyddsförordningen och typisk art för </w:t>
      </w:r>
      <w:r>
        <w:rPr>
          <w:i/>
        </w:rPr>
        <w:t>9010 Taiga, 9030 Landhöjningsskog, 9080 Lövsumpskog</w:t>
      </w:r>
      <w:r>
        <w:t xml:space="preserve"> och</w:t>
      </w:r>
      <w:r>
        <w:rPr>
          <w:i/>
        </w:rPr>
        <w:t xml:space="preserve"> 9750 Svämlövskog </w:t>
      </w:r>
      <w:r>
        <w:t>(Jansson, 1999; Skogsstyrelsen, 2014; SLU Artdatabanken, 2025).</w:t>
      </w:r>
    </w:p>
    <w:p>
      <w:r>
        <w:rPr>
          <w:b/>
        </w:rPr>
        <w:t>Timmerticka</w:t>
      </w:r>
      <w:r>
        <w:t xml:space="preserve"> är typisk art för </w:t>
      </w:r>
      <w:r>
        <w:rPr>
          <w:i/>
        </w:rPr>
        <w:t>9060 Åsbarrskog</w:t>
      </w:r>
      <w:r>
        <w:t>. Bland annat åtgärdsprogramsarten skrovlig flatbagge (NT) samt timmertickgnagare kan påträffas på eller i nära anslutning till fruktkroppar av timmerticka</w:t>
      </w:r>
      <w:r>
        <w:rPr>
          <w:i/>
        </w:rPr>
        <w:t xml:space="preserve">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dropptaggsvamp (NT, T), motaggsvamp (NT, T), orange taggsvamp (NT, T), vedskivlav (NT, T), bronshjon (S, T), grönpyrola (S, T), mindre märgborre (S, T), trådticka (S, T), vedticka (S, T), mattlummer (T, §9), nattskärra (T, §4), spillkråka (T, §4), stjärtmes (T, §4), timmerticka (T), tjäder (T, §4) och tofsmes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