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36260-2026 i Surahammars kommun</w:t>
      </w:r>
    </w:p>
    <w:p>
      <w:r>
        <w:t>Detta klagomål behandlar höga naturvärden i avverkningsanmälan A 36260-2026 i Surahammars kommun som inkom 2026-09-03 och omfattar 5,7 ha.</w:t>
      </w:r>
    </w:p>
    <w:p>
      <w:pPr>
        <w:pStyle w:val="Caption"/>
      </w:pPr>
      <w:r>
        <w:drawing>
          <wp:inline xmlns:a="http://schemas.openxmlformats.org/drawingml/2006/main" xmlns:pic="http://schemas.openxmlformats.org/drawingml/2006/picture">
            <wp:extent cx="5486400" cy="5250730"/>
            <wp:docPr id="1" name="Picture 1"/>
            <wp:cNvGraphicFramePr>
              <a:graphicFrameLocks noChangeAspect="1"/>
            </wp:cNvGraphicFramePr>
            <a:graphic>
              <a:graphicData uri="http://schemas.openxmlformats.org/drawingml/2006/picture">
                <pic:pic>
                  <pic:nvPicPr>
                    <pic:cNvPr id="0" name="A 36260-2026 karta.png"/>
                    <pic:cNvPicPr/>
                  </pic:nvPicPr>
                  <pic:blipFill>
                    <a:blip r:embed="rId16"/>
                    <a:stretch>
                      <a:fillRect/>
                    </a:stretch>
                  </pic:blipFill>
                  <pic:spPr>
                    <a:xfrm>
                      <a:off x="0" y="0"/>
                      <a:ext cx="5486400" cy="525073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6621218, E 572189 i SWEREF 99 TM.</w:t>
      </w:r>
    </w:p>
    <w:p>
      <w:r>
        <w:t>I och inom 18 meter från avverkningsanmälan finns fynd av 7 naturvårdsarter, varav 3 är rödlistade, 4 är fridlysta, 2 är typiska (T) och 1 är signalart (S): mindre bastardsvärmare (VU), silverblåvinge (VU), enkelbeckasin (NT, §4), blodticka (S, T), nattskärra (T, §4), vanlig snok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