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36260-2026 i Surahammars kommun</w:t>
      </w:r>
    </w:p>
    <w:p>
      <w:r>
        <w:t>Denna tillsynsbegäran behandlar höga naturvärden i avverkningsanmälan A 36260-2026 i Surahammars kommun som inkom 2026-09-03 och omfattar 5,7 ha.</w:t>
      </w:r>
    </w:p>
    <w:p>
      <w:pPr>
        <w:pStyle w:val="Caption"/>
      </w:pPr>
      <w:r>
        <w:drawing>
          <wp:inline xmlns:a="http://schemas.openxmlformats.org/drawingml/2006/main" xmlns:pic="http://schemas.openxmlformats.org/drawingml/2006/picture">
            <wp:extent cx="5486400" cy="5250730"/>
            <wp:docPr id="1" name="Picture 1"/>
            <wp:cNvGraphicFramePr>
              <a:graphicFrameLocks noChangeAspect="1"/>
            </wp:cNvGraphicFramePr>
            <a:graphic>
              <a:graphicData uri="http://schemas.openxmlformats.org/drawingml/2006/picture">
                <pic:pic>
                  <pic:nvPicPr>
                    <pic:cNvPr id="0" name="A 36260-2026 karta.png"/>
                    <pic:cNvPicPr/>
                  </pic:nvPicPr>
                  <pic:blipFill>
                    <a:blip r:embed="rId16"/>
                    <a:stretch>
                      <a:fillRect/>
                    </a:stretch>
                  </pic:blipFill>
                  <pic:spPr>
                    <a:xfrm>
                      <a:off x="0" y="0"/>
                      <a:ext cx="5486400" cy="5250730"/>
                    </a:xfrm>
                    <a:prstGeom prst="rect"/>
                  </pic:spPr>
                </pic:pic>
              </a:graphicData>
            </a:graphic>
          </wp:inline>
        </w:drawing>
      </w:r>
    </w:p>
    <w:p>
      <w:pPr>
        <w:pStyle w:val="Caption"/>
        <w:spacing w:after="240"/>
      </w:pPr>
      <w:r>
        <w:t>Figur 1. Fyndplatser för naturvårdsarter i och inom 18 meter från avverkningsanmälan. Markörer utan svart kant är placerade på fyndplatsen. Markörer med svart kant är placerade vid sidan av fyndplatsen och har ett svart streck som visar fyndplatsens exakta position. Kartans mittpunktskoordinat är N 6621218, E 572189 i SWEREF 99 TM.</w:t>
      </w:r>
    </w:p>
    <w:p>
      <w:r>
        <w:t>I och inom 18 meter från avverkningsanmälan finns fynd av 7 naturvårdsarter, varav 3 är rödlistade, 4 är fridlysta, 2 är typiska (T) och 1 är signalart (S): mindre bastardsvärmare (VU), silverblåvinge (VU), enkelbeckasin (NT, §4), blodticka (S, T), nattskärra (T, §4), vanlig snok (§6) och revlummer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Blodticka </w:t>
      </w:r>
      <w:r>
        <w:t xml:space="preserve">är i norra Sverige främst knuten till grova granlågor i urskogsartad barrskog, men förekommer ibland även på klenare granar i anslutning till bäckar och sumpskogar. Den är en bra indikator på granskogar med höga naturvärden och oftast förekommer den tillsammans med ett stort antal ovanliga och rödlistade arter. I södra Sverige växer den framför allt på tall och har då ett lägre signalvärde. Blodticka är typisk art för </w:t>
      </w:r>
      <w:r>
        <w:rPr>
          <w:i/>
        </w:rPr>
        <w:t>9030 Landhöjningsskog</w:t>
      </w:r>
      <w:r>
        <w:t xml:space="preserve"> (SLU Artdatabanken, 2025; Nitare &amp; Skogsstyrelsen, 2019).</w:t>
      </w:r>
    </w:p>
    <w:p>
      <w:r>
        <w:rPr>
          <w:b/>
        </w:rPr>
        <w:t>Nattskärra (§4)</w:t>
      </w:r>
      <w:r>
        <w:t xml:space="preserve"> hör i ett historiskt perspektiv hemma i utmarkernas glesa, betade skogar, på ljunghedar och brandfält, tallmoar och i anslutning till torra naturbetesmarker i gränsen mot skogen. Numera påträffas arten i första hand i glesa tallskogar på hällmarker, sandfält och kring högmossar. Uppträder ofta i anslutning till hyggen. Hemområdet för häckande nattskärror är enligt brittiska studier 50–200 hektar, men det förekommer att nattskärror flyger över 5 kilometer för att födosöka i särskilt insektsrika miljöer. Nattskärra är fridlyst enligt 4§ artskyddsförordningen, omfattas av bilaga 1 EU:s fågeldirektiv och är typisk art för </w:t>
      </w:r>
      <w:r>
        <w:rPr>
          <w:i/>
        </w:rPr>
        <w:t>9010 Taiga</w:t>
      </w:r>
      <w:r>
        <w:t xml:space="preserve"> (Skogsstyrelsen, 2016; SLU Artdatabanken, 2025).</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