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4086-2025 i Surahammars kommun</w:t>
      </w:r>
    </w:p>
    <w:p>
      <w:r>
        <w:t>Denna tillsynsbegäran behandlar höga naturvärden i avverkningsanmälan A 4086-2025 i Surahammars kommun som inkom 2025-01-27 och omfattar 20,5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4086-2025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6626727, E 563749 i SWEREF 99 TM.</w:t>
      </w:r>
    </w:p>
    <w:p>
      <w:r>
        <w:t>I och inom 23 meter från avverkningsanmälan finns fynd av 53 naturvårdsarter, varav 25 är rödlistade, 13 är fridlysta, 31 är typiska (T) och 9 är signalarter (S): ask (EN), skogsalm (EN), gul taggsvamp (VU, T), knärot (VU, T, §8), lakritsmusseron (VU, T), rotfingersvamp (VU), skrovlig taggsvamp (VU), dofttaggsvamp (NT, T), dropptaggsvamp (NT, T), fjällig taggsvamp s.str. (NT), grantaggsvamp (NT), gropticka (NT, T), motaggsvamp (NT, T), nordfladdermus (NT, §4a), orange taggsvamp (NT, T), rosenticka (NT, T), rynkskinn (NT, T), skarp dropptaggsvamp (NT), sotvaxskivling (NT), svartvit taggsvamp (NT), svedjenäva (NT, T), svinrot (NT), tallriska (NT), ullticka (NT, T), vågticka (NT), blodticka (S, T), flagellkvastmossa (S, T), grönpyrola (S, T), gullgröppa (S), mindre märgborre (S, T), plattlummer (S, T, §9), rödgul trumpetsvamp (S), vedticka (S, T), zontaggsvamp (S), bergsslok (T), blåbär (T), blåsippa (T, §9), hultbräken (T), kärrviol (T), linnea (T), mattlummer (T, §9), skogsstjärna (T), spillkråka (T, §4), stjärnstarr (T), tjäder (T, §4), vitsippa (T), ängskovall (T), dvärgpipistrell (§4a), kopparödla (§6), fläcknycklar (§8), nattviol (§8),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39 fyndplatser för knärot registrerade på Artportalen. Figur 2 visar gränserna för buffertzoner på 50 m, som behöver lämnas kring fyndplatserna för att knärotslokalerna inte ska försvinna vid en avverkning. Av det avverkningsanmälda området överlappar 8.43 ha med buffertzonerna och får av detta skäl inte avverkas.</w:t>
      </w:r>
    </w:p>
    <w:p>
      <w:pPr>
        <w:pStyle w:val="Caption"/>
      </w:pPr>
      <w:r>
        <w:drawing>
          <wp:inline xmlns:a="http://schemas.openxmlformats.org/drawingml/2006/main" xmlns:pic="http://schemas.openxmlformats.org/drawingml/2006/picture">
            <wp:extent cx="5486400" cy="3427586"/>
            <wp:docPr id="2" name="Picture 2"/>
            <wp:cNvGraphicFramePr>
              <a:graphicFrameLocks noChangeAspect="1"/>
            </wp:cNvGraphicFramePr>
            <a:graphic>
              <a:graphicData uri="http://schemas.openxmlformats.org/drawingml/2006/picture">
                <pic:pic>
                  <pic:nvPicPr>
                    <pic:cNvPr id="0" name="A 4086-2025 karta knärot.png"/>
                    <pic:cNvPicPr/>
                  </pic:nvPicPr>
                  <pic:blipFill>
                    <a:blip r:embed="rId17"/>
                    <a:stretch>
                      <a:fillRect/>
                    </a:stretch>
                  </pic:blipFill>
                  <pic:spPr>
                    <a:xfrm>
                      <a:off x="0" y="0"/>
                      <a:ext cx="5486400" cy="34275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6626727, E 563749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Bergsslok </w:t>
      </w:r>
      <w:r>
        <w:t xml:space="preserve">är typisk art för </w:t>
      </w:r>
      <w:r>
        <w:rPr>
          <w:i/>
        </w:rPr>
        <w:t>9190 Näringsfattig ekskog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knärot (VU, T, §8), lakritsmusseron (VU, T), dofttaggsvamp (NT, T), dropptaggsvamp (NT, T), gropticka (NT, T), motaggsvamp (NT, T), orange taggsvamp (NT, T), rosenticka (NT, T), rynkskinn (NT, T), svedjenäva (NT, T), ullticka (NT, T), blodticka (S, T), flagellkvastmossa (S, T), grönpyrola (S, T), mindre märgborre (S, T), plattlummer (S, T, §9), vedticka (S, T), bergsslok (T), blåbär (T), blåsippa (T, §9), hultbräken (T), kärrviol (T), linnea (T), mattlummer (T, §9), skogsstjärna (T), spillkråka (T, §4), stjärnstarr (T), tjäder (T, §4), vitsippa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