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610-2026 i Surahammars kommun</w:t>
      </w:r>
    </w:p>
    <w:p>
      <w:r>
        <w:t>Denna tillsynsbegäran behandlar höga naturvärden i samrådsanmälan S 610-2026 i Surahammars kommun som inkom 2026-03-04 och omfattar 74,9 ha.</w:t>
      </w:r>
    </w:p>
    <w:p>
      <w:pPr>
        <w:pStyle w:val="Caption"/>
      </w:pPr>
      <w:r>
        <w:drawing>
          <wp:inline xmlns:a="http://schemas.openxmlformats.org/drawingml/2006/main" xmlns:pic="http://schemas.openxmlformats.org/drawingml/2006/picture">
            <wp:extent cx="5486400" cy="4477732"/>
            <wp:docPr id="1" name="Picture 1"/>
            <wp:cNvGraphicFramePr>
              <a:graphicFrameLocks noChangeAspect="1"/>
            </wp:cNvGraphicFramePr>
            <a:graphic>
              <a:graphicData uri="http://schemas.openxmlformats.org/drawingml/2006/picture">
                <pic:pic>
                  <pic:nvPicPr>
                    <pic:cNvPr id="0" name="S 610-2026 karta.png"/>
                    <pic:cNvPicPr/>
                  </pic:nvPicPr>
                  <pic:blipFill>
                    <a:blip r:embed="rId16"/>
                    <a:stretch>
                      <a:fillRect/>
                    </a:stretch>
                  </pic:blipFill>
                  <pic:spPr>
                    <a:xfrm>
                      <a:off x="0" y="0"/>
                      <a:ext cx="5486400" cy="447773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6628779, E 559899 i SWEREF 99 TM.</w:t>
      </w:r>
    </w:p>
    <w:p>
      <w:r>
        <w:t>I och inom 25 meter från samrådsanmälan finns fynd av 14 naturvårdsarter, varav 7 är rödlistade, 7 är fridlysta, 5 är typiska (T) och 2 är signalarter (S): brunfläckig pärlemorfjäril (VU), berggräsfjäril (NT), brunklöver (NT), motaggsvamp (NT, T), scharlakansvaxing (NT), svinrot (NT), talltita (NT, §4), mindre märgborre (S, T), plattlummer (S, T, §9), mattlummer (T, §9), tjäder (T, §4), buskmus (§4a), törnskata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motaggsvamp (NT, T), mindre märgborre (S, T), plattlummer (S, T, §9), mattlummer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