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dokument behandlar höga naturvärden i avverkningsanmälan A 4086-2025 i Surahammars kommun. Denna avverkningsanmälan inkom 2025-01-27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goliatmusseron (VU), knärot (VU, §8), lakritsmusseron (VU), rotfingersvamp (VU), rynkskinn (VU), vågticka (VU), dofttaggsvamp (NT), grantaggsvamp (NT), gropticka (NT), gul taggsvamp (NT), motaggsvamp (NT), orange taggsvamp (NT), rosenticka (NT), rödvingetrast (NT, §4), skrovlig taggsvamp (NT), svinrot (NT), ullticka (NT), blodticka (S), dropptaggsvamp (S), flagellkvastmossa (S), grönpyrola (S), gullgröppa (S), mindre märgborre (S), rödgul trumpetsvamp (S), skarp dropptaggsvamp (S), vedticka (S), zontaggsvamp (S), fläcknycklar (§8), blåsippa (§9), gullviva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rödvingetrast (NT, §4),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8.28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