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39697-2025 i Surahammars kommun</w:t>
      </w:r>
    </w:p>
    <w:p>
      <w:r>
        <w:t>Detta klagomål behandlar höga naturvärden i avverkningsanmälan A 39697-2025 i Surahammars kommun som inkom 2025-08-21 och omfattar 25,7 ha.</w:t>
      </w:r>
    </w:p>
    <w:p>
      <w:pPr>
        <w:pStyle w:val="Caption"/>
      </w:pPr>
      <w:r>
        <w:drawing>
          <wp:inline xmlns:a="http://schemas.openxmlformats.org/drawingml/2006/main" xmlns:pic="http://schemas.openxmlformats.org/drawingml/2006/picture">
            <wp:extent cx="5486400" cy="3918668"/>
            <wp:docPr id="1" name="Picture 1"/>
            <wp:cNvGraphicFramePr>
              <a:graphicFrameLocks noChangeAspect="1"/>
            </wp:cNvGraphicFramePr>
            <a:graphic>
              <a:graphicData uri="http://schemas.openxmlformats.org/drawingml/2006/picture">
                <pic:pic>
                  <pic:nvPicPr>
                    <pic:cNvPr id="0" name="A 39697-2025 karta.png"/>
                    <pic:cNvPicPr/>
                  </pic:nvPicPr>
                  <pic:blipFill>
                    <a:blip r:embed="rId16"/>
                    <a:stretch>
                      <a:fillRect/>
                    </a:stretch>
                  </pic:blipFill>
                  <pic:spPr>
                    <a:xfrm>
                      <a:off x="0" y="0"/>
                      <a:ext cx="5486400" cy="39186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6627571, E 561422 i SWEREF 99 TM.</w:t>
      </w:r>
    </w:p>
    <w:p>
      <w:r>
        <w:t>I och inom 25 meter från avverkningsanmälan finns fynd av 46 naturvårdsarter, varav 17 är rödlistade, 29 är fridlysta, 14 är typiska (T) och 7 är signalarter (S): grönfink (VU, §4), knärot (VU, T, §8), bivråk (NT, §4), brunlångöra (NT, §4a), dropptaggsvamp (NT, T), fjällig taggsvamp s.str. (NT), järnsparv (NT, §4), motaggsvamp (NT, T), nordfladdermus (NT, §4a), rödvingetrast (NT, §4), skarp dropptaggsvamp (NT), skogshare (NT), sotvaxskivling (NT), sparvuggla (NT, §4), stornopping (NT), talltita (NT, §4), älg (NT), blodvaxing (S), gulgrön kantmusseron (S), honungsvaxing (S), luktvaxing (S), mindre märgborre (S, T), smal svampklubba (S), vedticka (S, T), gråspett (T, §4), järpe (T, §4), liljekonvalj (T), mattlummer (T, §9), nattskärra (T, §4), spillkråka (T, §4), sälg (T), tjäder (T, §4), tofsmes (T, §4), dvärgpipistrell (§4a), gröngöling (§4), kungsfågel (§4), orre (§4), slaguggla (§4), större brunfladdermus (§4a), sångsvan (§4), trana (§4), trollpipistrell (§4a), vattenfladdermus (§4a),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263408"/>
            <wp:docPr id="2" name="Picture 2"/>
            <wp:cNvGraphicFramePr>
              <a:graphicFrameLocks noChangeAspect="1"/>
            </wp:cNvGraphicFramePr>
            <a:graphic>
              <a:graphicData uri="http://schemas.openxmlformats.org/drawingml/2006/picture">
                <pic:pic>
                  <pic:nvPicPr>
                    <pic:cNvPr id="0" name="A 39697-2025 karta knärot.png"/>
                    <pic:cNvPicPr/>
                  </pic:nvPicPr>
                  <pic:blipFill>
                    <a:blip r:embed="rId17"/>
                    <a:stretch>
                      <a:fillRect/>
                    </a:stretch>
                  </pic:blipFill>
                  <pic:spPr>
                    <a:xfrm>
                      <a:off x="0" y="0"/>
                      <a:ext cx="5486400" cy="62634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6627571, E 561422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