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2049-2026 i Surahammars kommun</w:t>
      </w:r>
    </w:p>
    <w:p>
      <w:r>
        <w:t>Detta klagomål behandlar höga naturvärden i samrådsanmälan S 2049-2026 i Surahammars kommun som inkom 2026-07-13 och omfattar 11,9 ha.</w:t>
      </w:r>
    </w:p>
    <w:p>
      <w:pPr>
        <w:pStyle w:val="Caption"/>
      </w:pPr>
      <w:r>
        <w:drawing>
          <wp:inline xmlns:a="http://schemas.openxmlformats.org/drawingml/2006/main" xmlns:pic="http://schemas.openxmlformats.org/drawingml/2006/picture">
            <wp:extent cx="5486400" cy="3510542"/>
            <wp:docPr id="1" name="Picture 1"/>
            <wp:cNvGraphicFramePr>
              <a:graphicFrameLocks noChangeAspect="1"/>
            </wp:cNvGraphicFramePr>
            <a:graphic>
              <a:graphicData uri="http://schemas.openxmlformats.org/drawingml/2006/picture">
                <pic:pic>
                  <pic:nvPicPr>
                    <pic:cNvPr id="0" name="S 2049-2026 karta.png"/>
                    <pic:cNvPicPr/>
                  </pic:nvPicPr>
                  <pic:blipFill>
                    <a:blip r:embed="rId16"/>
                    <a:stretch>
                      <a:fillRect/>
                    </a:stretch>
                  </pic:blipFill>
                  <pic:spPr>
                    <a:xfrm>
                      <a:off x="0" y="0"/>
                      <a:ext cx="5486400" cy="3510542"/>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6632440, E 558217 i SWEREF 99 TM.</w:t>
      </w:r>
    </w:p>
    <w:p>
      <w:r>
        <w:t>I och inom 23 meter från samrådsanmälan finns fynd av 15 naturvårdsarter, varav 6 är rödlistade, 10 är fridlysta, 8 är typiska (T) och 3 är signalarter (S): knärot (VU, T, §8), brunlångöra (NT, §4a), dropptaggsvamp (NT, T), nordfladdermus (NT, §4a), orange taggsvamp (NT, T), talltita (NT, §4), mindre märgborre (S, T), vedticka (S, T), västlig hakmossa (S), stjärtmes (T, §4), tjäder (T, §4), tofsmes (T, §4), dvärgpipistrell (§4a), svartvit flugsnappare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3382337"/>
            <wp:docPr id="2" name="Picture 2"/>
            <wp:cNvGraphicFramePr>
              <a:graphicFrameLocks noChangeAspect="1"/>
            </wp:cNvGraphicFramePr>
            <a:graphic>
              <a:graphicData uri="http://schemas.openxmlformats.org/drawingml/2006/picture">
                <pic:pic>
                  <pic:nvPicPr>
                    <pic:cNvPr id="0" name="S 2049-2026 karta knärot.png"/>
                    <pic:cNvPicPr/>
                  </pic:nvPicPr>
                  <pic:blipFill>
                    <a:blip r:embed="rId17"/>
                    <a:stretch>
                      <a:fillRect/>
                    </a:stretch>
                  </pic:blipFill>
                  <pic:spPr>
                    <a:xfrm>
                      <a:off x="0" y="0"/>
                      <a:ext cx="5486400" cy="338233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6632440, E 558217 i SWEREF 99 TM.</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15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