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1051-2022 i Surahammars kommun</w:t>
      </w:r>
    </w:p>
    <w:p>
      <w:r>
        <w:t>Denna tillsynsbegäran behandlar höga naturvärden i samrådsanmälan S 1051-2022 i Surahammars kommun som inkom 2022-02-21 och omfattar 12,3 ha.</w:t>
      </w:r>
    </w:p>
    <w:p>
      <w:pPr>
        <w:pStyle w:val="Caption"/>
      </w:pPr>
      <w:r>
        <w:drawing>
          <wp:inline xmlns:a="http://schemas.openxmlformats.org/drawingml/2006/main" xmlns:pic="http://schemas.openxmlformats.org/drawingml/2006/picture">
            <wp:extent cx="5486400" cy="4579541"/>
            <wp:docPr id="1" name="Picture 1"/>
            <wp:cNvGraphicFramePr>
              <a:graphicFrameLocks noChangeAspect="1"/>
            </wp:cNvGraphicFramePr>
            <a:graphic>
              <a:graphicData uri="http://schemas.openxmlformats.org/drawingml/2006/picture">
                <pic:pic>
                  <pic:nvPicPr>
                    <pic:cNvPr id="0" name="S 1051-2022 karta.png"/>
                    <pic:cNvPicPr/>
                  </pic:nvPicPr>
                  <pic:blipFill>
                    <a:blip r:embed="rId16"/>
                    <a:stretch>
                      <a:fillRect/>
                    </a:stretch>
                  </pic:blipFill>
                  <pic:spPr>
                    <a:xfrm>
                      <a:off x="0" y="0"/>
                      <a:ext cx="5486400" cy="4579541"/>
                    </a:xfrm>
                    <a:prstGeom prst="rect"/>
                  </pic:spPr>
                </pic:pic>
              </a:graphicData>
            </a:graphic>
          </wp:inline>
        </w:drawing>
      </w:r>
    </w:p>
    <w:p>
      <w:pPr>
        <w:pStyle w:val="Caption"/>
        <w:spacing w:after="240"/>
      </w:pPr>
      <w:r>
        <w:t>Figur 1. Fyndplatser för naturvårdsarter i och inom 20 meter från samrådsanmälan. Markörer utan svart kant är placerade på fyndplatsen. Markörer med svart kant är placerade vid sidan av fyndplatsen och har ett svart streck som visar fyndplatsens exakta position. Kartans mittpunktskoordinat är N 6628747, E 557265 i SWEREF 99 TM.</w:t>
      </w:r>
    </w:p>
    <w:p>
      <w:r>
        <w:t>I och inom 20 meter från samrådsanmälan finns fynd av 14 naturvårdsarter, varav 11 är rödlistade, 1 är fridlyst, 9 är typiska (T) och 3 är signalarter (S): garnlav (VU, T), skrovlig taggsvamp (VU), blå taggsvamp (NT, T), dropptaggsvamp (NT, T), grantaggsvamp (NT), hängticka (NT), motaggsvamp (NT, T), orange taggsvamp (NT, T), sotvaxskivling (NT), svartvit taggsvamp (NT), vedskivlav (NT, T), blåmossa (S, T), plattlummer (S, T, §9)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 xml:space="preserve">Hängticka (NT) </w:t>
      </w:r>
      <w:r>
        <w:t>är en vedsvamp som växer på starkt multnade brunrötade stockar av olika barrträd men kan någon gång också uppträda på lövträd. Tickans ettåriga hattar sitter tilltryckta mot underlaget men fäster vid enbart på en eller ett par punkter på ovansidan. Den hängande hatten, sporernas form och artens växtplats ger ledning vid bestämningen, men arterna i släktet är svåra att skilja åt varför bra material och mikroskopering är nödvändigt för en säker artbestämning. Arten är sällsynt och tycks vara beroende av god tillgång på multnande ved. Den hotas därför av att lämpliga växtplatser saknas i rationellt skötta skogar. Artens växtplatser måste skyddas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blå taggsvamp (NT, T), dropptaggsvamp (NT, T), motaggsvamp (NT, T), orange taggsvamp (NT, T), vedskivlav (NT, T), blåmossa (S, T), plattlummer (S, T, §9)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