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56541-2025 i Surahammars kommun</w:t>
      </w:r>
    </w:p>
    <w:p>
      <w:r>
        <w:t>Detta dokument behandlar höga naturvärden i avverkningsanmälan A 56541-2025 i Surahammars kommun som inkom 2025-11-14 och omfattar 7,6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Inom 8 meter från avverkningsanmälan har följande 2 naturvårdsarter hittats: talltita (NT, §4) och kungsfågel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 rör sig om en skog med höga naturvärden.</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4786911" cy="5688000"/>
            <wp:docPr id="1" name="Picture 1"/>
            <wp:cNvGraphicFramePr>
              <a:graphicFrameLocks noChangeAspect="1"/>
            </wp:cNvGraphicFramePr>
            <a:graphic>
              <a:graphicData uri="http://schemas.openxmlformats.org/drawingml/2006/picture">
                <pic:pic>
                  <pic:nvPicPr>
                    <pic:cNvPr id="0" name="A 56541-2025 karta.png"/>
                    <pic:cNvPicPr/>
                  </pic:nvPicPr>
                  <pic:blipFill>
                    <a:blip r:embed="rId16"/>
                    <a:stretch>
                      <a:fillRect/>
                    </a:stretch>
                  </pic:blipFill>
                  <pic:spPr>
                    <a:xfrm>
                      <a:off x="0" y="0"/>
                      <a:ext cx="4786911" cy="5688000"/>
                    </a:xfrm>
                    <a:prstGeom prst="rect"/>
                  </pic:spPr>
                </pic:pic>
              </a:graphicData>
            </a:graphic>
          </wp:inline>
        </w:drawing>
      </w:r>
    </w:p>
    <w:p>
      <w:pPr>
        <w:pStyle w:val="Caption"/>
        <w:spacing w:after="240"/>
      </w:pPr>
      <w:r>
        <w:t>Figur 1. Fyndplatser för naturvårdsarter inom 8 meter från avverkningsanmälan (röd linje). Markörer utan svart kant är placerade på fyndplatsen. Markörer med svart kant är placerade vid sidan av fyndplatsen och har ett svart streck som visar fyndplatsens exakta position. Kartans mittpunktskoordinat är N 6614653, E 558726 i SWEREF 99 TM.</w:t>
      </w:r>
    </w:p>
    <w:p>
      <w:pPr>
        <w:pStyle w:val="Heading2"/>
      </w:pPr>
      <w:r>
        <w:t>Fridlysta arter</w:t>
      </w:r>
    </w:p>
    <w:p>
      <w:r>
        <w:t>Följande fridlysta arter har sina livsmiljöer och växtplatser i den avverkningsanmälda skogen: talltita (NT, §4) och kungsfågel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