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13788-2025 i Surahammars kommun</w:t>
      </w:r>
    </w:p>
    <w:p>
      <w:r>
        <w:t>Denna tillsynsbegäran behandlar höga naturvärden i avverkningsanmälan A 13788-2025 i Surahammars kommun som inkom 2025-03-21 och omfattar 9,7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42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78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42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6622932, E 563802 i SWEREF 99 TM.</w:t>
      </w:r>
    </w:p>
    <w:p>
      <w:r>
        <w:t>I avverkningsanmälan finns fynd av 2 naturvårdsarter, varav 1 är rödlistad, 2 är fridlysta och 1 är typisk (T): sparvuggla (NT, §4) och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Sparvuggla (NT, §4)</w:t>
      </w:r>
      <w:r>
        <w:t xml:space="preserve"> är fridlyst enligt 4§ artskyddsförordningen och omfattas av bilaga 1 EU:s fågeldirektiv. Den har minskat med 15 (5–25) % under de senaste 15 åren och minskningstakten för den svenska populationen bedöms vara nära gränsvärdet för Sårbar (VU).  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produktionsskogar. Särskilt avverkning av lövträdsrika kantzoner och igenplantering av gamla inägor (SLU Artdatabanken, 2026; Skogsstyrelsen, 2016).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Sparvuggla – ekologi samt krav på livsmiljön</w:t>
      </w:r>
    </w:p>
    <w:p>
      <w:r>
        <w:t>Sparvuggla (NT, §4) är fridlyst enligt 4§ artskyddsförordningen och omfattas av bilaga 1 EU:s fågeldirektiv. Den har minskat med 15 (5–25) % under de senaste 15 åren och minskningstakten för den svenska populationen bedöms vara nära gränsvärdet för Sårbar (VU) (SLU Artdatabanken 2026).</w:t>
      </w:r>
    </w:p>
    <w:p>
      <w:r>
        <w:t>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 – särskilt avverkning av lövträdsrika kantzoner och igenplantering av gamla inägor (Skogsstyrelsen, 2016).</w:t>
      </w:r>
    </w:p>
    <w:p>
      <w:pPr>
        <w:pStyle w:val="Heading2"/>
      </w:pPr>
      <w:r>
        <w:t>Referenser – sparvuggla</w:t>
      </w:r>
    </w:p>
    <w:p>
      <w:r>
        <w:t xml:space="preserve">Skogsstyrelsen, 2016. </w:t>
      </w:r>
      <w:r>
        <w:rPr>
          <w:i/>
        </w:rPr>
        <w:t>Vägledning för hänsyn till sparvuggla.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