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9320-2025 i Kungsörs kommun</w:t>
      </w:r>
    </w:p>
    <w:p>
      <w:r>
        <w:t>Detta klagomål behandlar höga naturvärden i avverkningsanmälan A 9320-2025 i Kungsörs kommun som inkom 2025-02-26 och omfattar 9,2 ha.</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9320-2025 karta.png"/>
                    <pic:cNvPicPr/>
                  </pic:nvPicPr>
                  <pic:blipFill>
                    <a:blip r:embed="rId16"/>
                    <a:stretch>
                      <a:fillRect/>
                    </a:stretch>
                  </pic:blipFill>
                  <pic:spPr>
                    <a:xfrm>
                      <a:off x="0" y="0"/>
                      <a:ext cx="5486400" cy="510077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6584003, E 566395 i SWEREF 99 TM.</w:t>
      </w:r>
    </w:p>
    <w:p>
      <w:r>
        <w:t>I och inom 12 meter från avverkningsanmälan finns fynd av 16 naturvårdsarter, varav 8 är rödlistade, 5 är fridlysta, 10 är typiska (T) och 5 är signalarter (S): knärot (VU, T, §8), gropticka (NT, T), kötticka (NT), orange taggsvamp (NT, T), tallkötticka (NT), talltita (NT, §4), ullticka (NT, T), vedskivlav (NT, T), björksplintborre (S), bronshjon (S, T), mindre märgborre (S, T), vedticka (S, T), vågbandad barkbock (S),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1.49 ha med buffertzonerna och får av detta skäl inte avverkas.</w:t>
      </w:r>
    </w:p>
    <w:p>
      <w:pPr>
        <w:pStyle w:val="Caption"/>
      </w:pPr>
      <w:r>
        <w:drawing>
          <wp:inline xmlns:a="http://schemas.openxmlformats.org/drawingml/2006/main" xmlns:pic="http://schemas.openxmlformats.org/drawingml/2006/picture">
            <wp:extent cx="5486400" cy="6597283"/>
            <wp:docPr id="2" name="Picture 2"/>
            <wp:cNvGraphicFramePr>
              <a:graphicFrameLocks noChangeAspect="1"/>
            </wp:cNvGraphicFramePr>
            <a:graphic>
              <a:graphicData uri="http://schemas.openxmlformats.org/drawingml/2006/picture">
                <pic:pic>
                  <pic:nvPicPr>
                    <pic:cNvPr id="0" name="A 9320-2025 karta knärot.png"/>
                    <pic:cNvPicPr/>
                  </pic:nvPicPr>
                  <pic:blipFill>
                    <a:blip r:embed="rId17"/>
                    <a:stretch>
                      <a:fillRect/>
                    </a:stretch>
                  </pic:blipFill>
                  <pic:spPr>
                    <a:xfrm>
                      <a:off x="0" y="0"/>
                      <a:ext cx="5486400" cy="659728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6584003, E 566395 i SWEREF 99 TM.</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