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FSC- /PEFC-klagomål - information om höga naturvärden och fridlysta arter i avverkningsanmälan A 39269-2023 i Kungsörs kommun</w:t>
      </w:r>
    </w:p>
    <w:p>
      <w:r>
        <w:t>Detta dokument behandlar höga naturvärden i avverkningsanmälan A 39269-2023 i Kungsörs kommun. Denna avverkningsanmälan inkom 2023-08-28 och omfattar 3,3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spillkråka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162303"/>
            <wp:docPr id="1" name="Picture 1"/>
            <wp:cNvGraphicFramePr>
              <a:graphicFrameLocks noChangeAspect="1"/>
            </wp:cNvGraphicFramePr>
            <a:graphic>
              <a:graphicData uri="http://schemas.openxmlformats.org/drawingml/2006/picture">
                <pic:pic>
                  <pic:nvPicPr>
                    <pic:cNvPr id="0" name="A 39269-2023 karta.png"/>
                    <pic:cNvPicPr/>
                  </pic:nvPicPr>
                  <pic:blipFill>
                    <a:blip r:embed="rId16"/>
                    <a:stretch>
                      <a:fillRect/>
                    </a:stretch>
                  </pic:blipFill>
                  <pic:spPr>
                    <a:xfrm>
                      <a:off x="0" y="0"/>
                      <a:ext cx="5486400" cy="716230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6585502, E 560505 i SWEREF 99 TM.</w:t>
      </w:r>
    </w:p>
    <w:p>
      <w:pPr>
        <w:pStyle w:val="Heading1"/>
      </w:pPr>
      <w:r>
        <w:t>Fridlysta arter</w:t>
      </w:r>
    </w:p>
    <w:p>
      <w:r>
        <w:t>Följande fridlysta arter har sina livsmiljöer och växtplatser i den avverkningsanmälda skogen: spillkråka (NT, §4).</w:t>
      </w:r>
      <w:r>
        <w:t xml:space="preserve"> I BILAGA 1 finns information om ekologi samt krav på livsmiljö hos fridlysta arter.</w:t>
      </w:r>
    </w:p>
    <w:p>
      <w:r>
        <w:b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 Varje par utnyttjar 400-1 000 hektar skog beroende på skogens kvalitet. En minskning av populationen pågår på grund av minskad tillgång på lämpliga bo- och födoträd och minskad födotillgång. Spillkråkans minskningstakt har uppgått till 19 (24-10) % under de senaste 15 åren.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2023-12-07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