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62471-2023 i Norbergs kommun</w:t>
      </w:r>
    </w:p>
    <w:p>
      <w:r>
        <w:t>Denna tillsynsbegäran behandlar höga naturvärden i avverkningsanmälan A 62471-2023 i Norbergs kommun som inkom 2023-12-08 och omfattar 5,3 ha.</w:t>
      </w:r>
    </w:p>
    <w:p>
      <w:pPr>
        <w:pStyle w:val="Caption"/>
      </w:pPr>
      <w:r>
        <w:drawing>
          <wp:inline xmlns:a="http://schemas.openxmlformats.org/drawingml/2006/main" xmlns:pic="http://schemas.openxmlformats.org/drawingml/2006/picture">
            <wp:extent cx="5468431" cy="5724000"/>
            <wp:docPr id="1" name="Picture 1"/>
            <wp:cNvGraphicFramePr>
              <a:graphicFrameLocks noChangeAspect="1"/>
            </wp:cNvGraphicFramePr>
            <a:graphic>
              <a:graphicData uri="http://schemas.openxmlformats.org/drawingml/2006/picture">
                <pic:pic>
                  <pic:nvPicPr>
                    <pic:cNvPr id="0" name="A 62471-2023 karta.png"/>
                    <pic:cNvPicPr/>
                  </pic:nvPicPr>
                  <pic:blipFill>
                    <a:blip r:embed="rId16"/>
                    <a:stretch>
                      <a:fillRect/>
                    </a:stretch>
                  </pic:blipFill>
                  <pic:spPr>
                    <a:xfrm>
                      <a:off x="0" y="0"/>
                      <a:ext cx="5468431" cy="5724000"/>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6664805, E 553759 i SWEREF 99 TM.</w:t>
      </w:r>
    </w:p>
    <w:p>
      <w:r>
        <w:t>I och inom 18 meter från avverkningsanmälan finns fynd av 3 naturvårdsarter, varav 2 är rödlistade, 2 är typiska (T) och 1 är signalart (S): kryddspindling (NT, T), orange taggsvamp (NT, T) och zontaggsvamp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Kryddspindling (NT)</w:t>
      </w:r>
      <w:r>
        <w:t xml:space="preserve"> signalerar örtrika granskogar som normalt har höga naturvärden. Oftast växer den i äldre granskog på kalkrikt underlag och svampen är en mycket användbar signalart för denna miljö. Den utgör en viktig karaktärsart för all äldre kalkbarrskog med lång trädkontinuitet av gran. På lokalerna förekommer nästan alltid många ovanliga och rödlistade arter. Den totala populationen i landet har minskat och bedöms fortsätta minska till följd av avverkning av äldre barrskogar. Kryddspindling är typisk art för </w:t>
      </w:r>
      <w:r>
        <w:rPr>
          <w:i/>
        </w:rPr>
        <w:t xml:space="preserve">9050 Näringsrik granskog </w:t>
      </w:r>
      <w:r>
        <w:t>(Nitare &amp; Skogsstyrelsen, 2000; SLU Artdatabanken, 2026).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