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25843-2021 i Norbergs kommun</w:t>
      </w:r>
    </w:p>
    <w:p>
      <w:r>
        <w:t>Detta dokument behandlar höga naturvärden i avverkningsanmälan A 25843-2021 i Norbergs kommun. Denna avverkningsanmälan inkom 2021-05-27 00:00:00 och omfattar 2,2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bårdlav (S) och grönpyrola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8105"/>
            <wp:docPr id="1" name="Picture 1"/>
            <wp:cNvGraphicFramePr>
              <a:graphicFrameLocks noChangeAspect="1"/>
            </wp:cNvGraphicFramePr>
            <a:graphic>
              <a:graphicData uri="http://schemas.openxmlformats.org/drawingml/2006/picture">
                <pic:pic>
                  <pic:nvPicPr>
                    <pic:cNvPr id="0" name="A 25843-2021 karta.png"/>
                    <pic:cNvPicPr/>
                  </pic:nvPicPr>
                  <pic:blipFill>
                    <a:blip r:embed="rId16"/>
                    <a:stretch>
                      <a:fillRect/>
                    </a:stretch>
                  </pic:blipFill>
                  <pic:spPr>
                    <a:xfrm>
                      <a:off x="0" y="0"/>
                      <a:ext cx="5486400" cy="441810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6649875, E 563452 i SWEREF 99 TM.</w:t>
      </w:r>
    </w:p>
    <w:p>
      <w:r>
        <w:rPr>
          <w:b/>
        </w:rPr>
        <w:t xml:space="preserve">Grönpyrola </w:t>
      </w:r>
      <w:r>
        <w:t>växer främst på sandig, torr eller frisk mark i äldre barrskog, ofta på isälvsmaterial såsom sand och grus. Den påträffas främst i äldre naturligt uppkomna barrskogar, exempelvis på tallmoar, i åssluttningar, dyner och rasbranter. Arten är känslig för skogsbruksmetoder såsom slutavverkning och markberedning (Nitare &amp; Skogsstyrelsen, 2019).</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8 fyndplatser för knärot registrerade på Artportalen. Figur 2 visar gränserna för buffertzoner på 50 m, som behöver lämnas kring fyndplatserna för att knärotslokalerna inte ska försvinna vid en avverkning. Av det avverkningsanmälda området överlappar 1.74 ha med buffertzonerna och får av detta skäl inte avverkas.</w:t>
      </w:r>
    </w:p>
    <w:p>
      <w:pPr>
        <w:pStyle w:val="Caption"/>
      </w:pPr>
      <w:r>
        <w:drawing>
          <wp:inline xmlns:a="http://schemas.openxmlformats.org/drawingml/2006/main" xmlns:pic="http://schemas.openxmlformats.org/drawingml/2006/picture">
            <wp:extent cx="5486400" cy="5212813"/>
            <wp:docPr id="2" name="Picture 2"/>
            <wp:cNvGraphicFramePr>
              <a:graphicFrameLocks noChangeAspect="1"/>
            </wp:cNvGraphicFramePr>
            <a:graphic>
              <a:graphicData uri="http://schemas.openxmlformats.org/drawingml/2006/picture">
                <pic:pic>
                  <pic:nvPicPr>
                    <pic:cNvPr id="0" name="A 25843-2021 karta knärot.png"/>
                    <pic:cNvPicPr/>
                  </pic:nvPicPr>
                  <pic:blipFill>
                    <a:blip r:embed="rId17"/>
                    <a:stretch>
                      <a:fillRect/>
                    </a:stretch>
                  </pic:blipFill>
                  <pic:spPr>
                    <a:xfrm>
                      <a:off x="0" y="0"/>
                      <a:ext cx="5486400" cy="5212813"/>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6649875, E 563452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