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3633-2024 i Västerås kommun</w:t>
      </w:r>
    </w:p>
    <w:p>
      <w:r>
        <w:t>Denna tillsynsbegäran behandlar höga naturvärden i samrådsanmälan S 3633-2024 i Västerås kommun som inkom 2024-09-13 och omfattar 323,2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S 3633-2024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6621228, E 567702 i SWEREF 99 TM.</w:t>
      </w:r>
    </w:p>
    <w:p>
      <w:r>
        <w:t>I och inom 25 meter från samrådsanmälan finns fynd av 19 naturvårdsarter, varav 9 är rödlistade, 13 är fridlysta, 8 är typiska (T) och 2 är signalarter (S): bombmurkla (EN, §8), skogsalm (EN), väddnätfjäril (VU, §6), bivråk (NT, §4), kungsörn (NT, §4), motaggsvamp (NT, T), stor vårtrattskivling (NT), talltita (NT, §4), vedskivlav (NT, T), grönpyrola (S, T), vedticka (S, T), blåsippa (T, §9), mattlummer (T, §9), spillkråka (T, §4), tjäder (T, §4), fläcknycklar (§8), grönvit nattviol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motaggsvamp (NT, T), vedskivlav (NT, T), grönpyrola (S, T), vedticka (S, T), blåsippa (T, §9),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