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39032-2024 i Västerås kommun</w:t>
      </w:r>
    </w:p>
    <w:p>
      <w:r>
        <w:t>Detta dokument behandlar höga naturvärden i avverkningsanmälan A 39032-2024 i Västerås kommun. Denna avverkningsanmälan inkom 2024-09-13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granbarkgnagare (S), grovticka (S), terpentinmossa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6362"/>
            <wp:docPr id="1" name="Picture 1"/>
            <wp:cNvGraphicFramePr>
              <a:graphicFrameLocks noChangeAspect="1"/>
            </wp:cNvGraphicFramePr>
            <a:graphic>
              <a:graphicData uri="http://schemas.openxmlformats.org/drawingml/2006/picture">
                <pic:pic>
                  <pic:nvPicPr>
                    <pic:cNvPr id="0" name="A 39032-2024 karta.png"/>
                    <pic:cNvPicPr/>
                  </pic:nvPicPr>
                  <pic:blipFill>
                    <a:blip r:embed="rId16"/>
                    <a:stretch>
                      <a:fillRect/>
                    </a:stretch>
                  </pic:blipFill>
                  <pic:spPr>
                    <a:xfrm>
                      <a:off x="0" y="0"/>
                      <a:ext cx="5486400" cy="498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6601576, E 597248 i SWEREF 99 TM.</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Terpentinmossa</w:t>
      </w:r>
      <w:r>
        <w:t xml:space="preserve"> signalerar alltid biotoper med höga naturvärden och dess lokaler bör alltid uppmärksammas som nyckelbiotoper. Den indikerar områden med konstant beskuggning och god tillgång på murken, fuktig ved och tål inte avverkning och markberedning. Sverige har ett internationellt ansvar för arten, då en relativt stor andel av den europeiska populationen troligen finns i vårt land. Terpentinmossa är rödlistad som nära hotad (NT) på den europeiska rödlistan och typisk art för </w:t>
      </w:r>
      <w:r>
        <w:rPr>
          <w:i/>
        </w:rPr>
        <w:t xml:space="preserve">9010 Taiga, 9080 Lövsumpskog </w:t>
      </w:r>
      <w:r>
        <w:t xml:space="preserve">och </w:t>
      </w:r>
      <w:r>
        <w:rPr>
          <w:i/>
        </w:rPr>
        <w:t>9750 Svämlövskog</w:t>
      </w:r>
      <w:r>
        <w:t xml:space="preserve"> (Nitare &amp; Skogsstyrelsen, 2019; IUCN,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