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16686-2026 i Västerås kommun</w:t>
      </w:r>
    </w:p>
    <w:p>
      <w:r>
        <w:t>Denna tillsynsbegäran behandlar höga naturvärden i avverkningsanmälan A 16686-2026 i Västerås kommun som inkom 2026-03-31 och omfattar 2,1 ha.</w:t>
      </w:r>
    </w:p>
    <w:p>
      <w:pPr>
        <w:pStyle w:val="Caption"/>
      </w:pPr>
      <w:r>
        <w:drawing>
          <wp:inline xmlns:a="http://schemas.openxmlformats.org/drawingml/2006/main" xmlns:pic="http://schemas.openxmlformats.org/drawingml/2006/picture">
            <wp:extent cx="5486400" cy="5048996"/>
            <wp:docPr id="1" name="Picture 1"/>
            <wp:cNvGraphicFramePr>
              <a:graphicFrameLocks noChangeAspect="1"/>
            </wp:cNvGraphicFramePr>
            <a:graphic>
              <a:graphicData uri="http://schemas.openxmlformats.org/drawingml/2006/picture">
                <pic:pic>
                  <pic:nvPicPr>
                    <pic:cNvPr id="0" name="A 16686-2026 karta.png"/>
                    <pic:cNvPicPr/>
                  </pic:nvPicPr>
                  <pic:blipFill>
                    <a:blip r:embed="rId16"/>
                    <a:stretch>
                      <a:fillRect/>
                    </a:stretch>
                  </pic:blipFill>
                  <pic:spPr>
                    <a:xfrm>
                      <a:off x="0" y="0"/>
                      <a:ext cx="5486400" cy="5048996"/>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6622707, E 582546 i SWEREF 99 TM.</w:t>
      </w:r>
    </w:p>
    <w:p>
      <w:r>
        <w:t>I och inom 22 meter från avverkningsanmälan finns fynd av 4 naturvårdsarter, varav 2 är rödlistade, 1 är fridlyst, 3 är typiska (T) och 2 är signalarter (S): knärot (VU, T, §8), motaggsvamp (NT, T), blomkålssvamp (S) och grönpyrola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8 fyndplatser för knärot registrerade på Artportalen. Figur 2 visar gränserna för buffertzoner på 50 m, som behöver lämnas kring fyndplatserna för att knärotslokalerna inte ska försvinna vid en avverkning. Av det avverkningsanmälda området överlappar 1.61 ha med buffertzonerna och får av detta skäl inte avverkas.</w:t>
      </w:r>
    </w:p>
    <w:p>
      <w:pPr>
        <w:pStyle w:val="Caption"/>
      </w:pPr>
      <w:r>
        <w:drawing>
          <wp:inline xmlns:a="http://schemas.openxmlformats.org/drawingml/2006/main" xmlns:pic="http://schemas.openxmlformats.org/drawingml/2006/picture">
            <wp:extent cx="5486400" cy="4803899"/>
            <wp:docPr id="2" name="Picture 2"/>
            <wp:cNvGraphicFramePr>
              <a:graphicFrameLocks noChangeAspect="1"/>
            </wp:cNvGraphicFramePr>
            <a:graphic>
              <a:graphicData uri="http://schemas.openxmlformats.org/drawingml/2006/picture">
                <pic:pic>
                  <pic:nvPicPr>
                    <pic:cNvPr id="0" name="A 16686-2026 karta knärot.png"/>
                    <pic:cNvPicPr/>
                  </pic:nvPicPr>
                  <pic:blipFill>
                    <a:blip r:embed="rId17"/>
                    <a:stretch>
                      <a:fillRect/>
                    </a:stretch>
                  </pic:blipFill>
                  <pic:spPr>
                    <a:xfrm>
                      <a:off x="0" y="0"/>
                      <a:ext cx="5486400" cy="4803899"/>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6622707, E 582546 i SWEREF 99 TM.</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 xml:space="preserve">Blomkålssvamp </w:t>
      </w:r>
      <w:r>
        <w:t>är en parasit och vednedbrytare som växer på rötter och basala stamdelar av tall, enstaka gånger även på lärk och gran. Träden är oftast mycket gamla, gärna 150–200 år eller äldre. När blomkålssvamp påträffas i skogslandskapet signalerar den vanligtvis skyddsvärda tallbestånd med höga naturvärden. Den är då främst knuten till gamla skogar, oftast tallnaturskogar och olika restbiotoper där det förekommer biologiskt gamla träd. Samtliga tallar med blomkålssvamp bör klassas som naturvårdsträd och lämnas som framtida ”evighetsträd” (Nitare &amp; Skogsstyrelsen, 2019).</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