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47228-2022 i Västerås kommun</w:t>
      </w:r>
    </w:p>
    <w:p>
      <w:r>
        <w:t>Denna tillsynsbegäran behandlar höga naturvärden i avverkningsanmälan A 47228-2022 i Västerås kommun som inkom 2022-10-18 och omfattar 11,6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47228-2022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6629070, E 587577 i SWEREF 99 TM.</w:t>
      </w:r>
    </w:p>
    <w:p>
      <w:r>
        <w:t>I och inom 21 meter från avverkningsanmälan finns fynd av 4 naturvårdsarter, varav 2 är rödlistade, 1 är fridlyst, 1 är typisk (T) och 1 är signalart (S): vithornad barkskinnbagge (EN), Xyletinus ater (NT), mindre märgborre (S, T)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Vithornad barkskinnbagge (EN)</w:t>
      </w:r>
      <w:r>
        <w:t xml:space="preserve"> är en starkt hotad art som liksom flera av barkskinnbaggarna är funnen i bränd skog, men det finns även fynd från obrända habitat. Arten är funnen på olika typer av död ved, främst brända barrträd och bränd björk, men även på obränd asp. I områden där skogen brunnit bör brända barrträd ej avverkas. Arten ingår i ett åtgärdsprogram för hotade arter (ÅGP) (SLU Artdatabanken, 2024; Wikars, 2006).</w:t>
      </w:r>
    </w:p>
    <w:p>
      <w:r>
        <w:rPr>
          <w:b/>
          <w:i/>
        </w:rPr>
        <w:t>Xyletinus ater</w:t>
      </w:r>
      <w:r>
        <w:rPr>
          <w:b/>
        </w:rPr>
        <w:t xml:space="preserve"> (NT) </w:t>
      </w:r>
      <w:r>
        <w:t>är en skalbagge vars larvutveckling sker i äldre vitrötad ved i döda grenar av olika lövträd, i Sverige främst ek, i Centraleuropa även bok. Den fullbildade skalbaggen kan bankas ner från döda grenar från mitten av juni. Arten påverkas negativt av brist på död ved och en minskning av populationen pågår eller förväntas ske. Minskningen avser kvalitén på artens habitat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