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18213-2022 i Västerås kommun</w:t>
      </w:r>
    </w:p>
    <w:p>
      <w:r>
        <w:t>Detta klagomål behandlar höga naturvärden i avverkningsanmälan A 18213-2022 i Västerås kommun som inkom 2022-05-03 och omfattar 11,5 ha.</w:t>
      </w:r>
    </w:p>
    <w:p>
      <w:pPr>
        <w:pStyle w:val="Caption"/>
      </w:pPr>
      <w:r>
        <w:drawing>
          <wp:inline xmlns:a="http://schemas.openxmlformats.org/drawingml/2006/main" xmlns:pic="http://schemas.openxmlformats.org/drawingml/2006/picture">
            <wp:extent cx="5486400" cy="4475869"/>
            <wp:docPr id="1" name="Picture 1"/>
            <wp:cNvGraphicFramePr>
              <a:graphicFrameLocks noChangeAspect="1"/>
            </wp:cNvGraphicFramePr>
            <a:graphic>
              <a:graphicData uri="http://schemas.openxmlformats.org/drawingml/2006/picture">
                <pic:pic>
                  <pic:nvPicPr>
                    <pic:cNvPr id="0" name="A 18213-2022 karta.png"/>
                    <pic:cNvPicPr/>
                  </pic:nvPicPr>
                  <pic:blipFill>
                    <a:blip r:embed="rId16"/>
                    <a:stretch>
                      <a:fillRect/>
                    </a:stretch>
                  </pic:blipFill>
                  <pic:spPr>
                    <a:xfrm>
                      <a:off x="0" y="0"/>
                      <a:ext cx="5486400" cy="447586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6594354, E 576029 i SWEREF 99 TM.</w:t>
      </w:r>
    </w:p>
    <w:p>
      <w:r>
        <w:t>I och inom 24 meter från avverkningsanmälan finns fynd av 22 naturvårdsarter, varav 10 är rödlistade, 1 är fridlyst, 17 är typiska (T) och 12 är signalarter (S): almsprängticka (VU), blekticka (NT, T), brödmärgsticka (NT, T), ekticka (NT, T), kandelabersvamp (NT, T), koralltaggsvamp (NT, T), skinntagging (NT), tallticka (NT, T), ullticka (NT, T), veckticka (NT, T), barkticka (S, T), blåmossa (S, T), fällmossa (S, T), grovticka (S, T), grön sköldmossa (S, T, §8), guldlockmossa (S, T), gulvaxing (S), hasselticka (S, T), läderskål (S), rävticka (S, T), svart trolldruva (S, T) och ängsvaxing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Almsprängticka (VU)</w:t>
      </w:r>
      <w:r>
        <w:t xml:space="preserve"> är en nedbrytare i ved under barken på alm, vanligen på grova levande träd. Växer i almskog, park, allé och blandad ädellövskog. Lätt att förbise eftersom fruktkropparna växer på insidan av barken. Total population i landet bedöms ha minskat och fortgående att minska kraftigt p.g.a. almsjukan. Minskningstakten överstiger gränsvärdet för sårbar (VU) (SLU Artdatabanken, 2026).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Brödmärgsticka (NT)</w:t>
      </w:r>
      <w:r>
        <w:t xml:space="preserve"> är en nedbrytare i barklösa stubbar och lågor av ek, mer sällan levande träd i löv- och blandskog samt hagmark, mycket sällsynt även på andra trädslag. Total population i landet liten och med få träd på varje lokal. Arten hotas av avverkning av värdträd, eventuell stubbrytning och avlägsnande av grov fallen ekved. För artens fortbestånd på sikt måste olikåldriga bestånd av ek bevaras i tillräcklig utsträckning. Brödmärgsticka är typisk art för </w:t>
      </w:r>
      <w:r>
        <w:rPr>
          <w:i/>
        </w:rPr>
        <w:t xml:space="preserve">9020 Nordlig ädellövskog </w:t>
      </w:r>
      <w:r>
        <w:t xml:space="preserve">och </w:t>
      </w:r>
      <w:r>
        <w:rPr>
          <w:i/>
        </w:rPr>
        <w:t>9160 Näringsrik ekskog</w:t>
      </w:r>
      <w:r>
        <w:t xml:space="preserve"> samt globalt rödlistad som nära hotad (NT) vilket innebär att Sverige har ett internationellt ansvar för arten</w:t>
      </w:r>
      <w:r>
        <w:rPr>
          <w:i/>
        </w:rPr>
        <w:t xml:space="preserve"> </w:t>
      </w:r>
      <w:r>
        <w:t>(SLU Artdatabanken, 2025; IUCN,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Skinntagging (NT)</w:t>
      </w:r>
      <w:r>
        <w:t xml:space="preserve"> är en sällsynt och krävande art som påträffas i skuggig och fuktig, örtrik löv- och blandskog, gärna bokskog, där den växer på murken ved av bok och asp, sällsynt även på andra lövträdslag. Arten är placerad högst upp i Skogsstyrelsens värdepyramid för bedömning av skog med höga naturvärden och allt tyder på att svampen är mycket känslig för all form av avverkning som kan orsaka ökad genomblåsning och ett torrare mikroklimat på växtplatsen. Lokaler och växtplatser bör skyddas eller skötas så att skinntagging kan fortleva. Generellt bör bestånd med stort inslag av grova lövträd och lågor, ej gallras, kalavverkas eller överföras till andra skogstyper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Rävticka</w:t>
      </w:r>
      <w:r>
        <w:t xml:space="preserve"> är typisk art för </w:t>
      </w:r>
      <w:r>
        <w:rPr>
          <w:i/>
        </w:rPr>
        <w:t xml:space="preserve">9010 Taiga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