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17195-2026 i Västerås kommun</w:t>
      </w:r>
    </w:p>
    <w:p>
      <w:r>
        <w:t>Detta dokument behandlar höga naturvärden i avverkningsanmälan A 17195-2026 i Västerås kommun som inkom 2026-04-06 och omfattar 42,8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18 naturvårdsarter hittats: fjällig taggsvamp s.str. (NT), småflikig brosklav (NT, T), tallkötticka (NT), talltita (NT, §4), björksplintborre (S), blomkålssvamp (S), flagellkvastmossa (S, T), mindre märgborre (S, T), plattlummer (S, T, §9), strimspindling (S), blåsippa (T, §9), hultbräken (T), kärrviol (T), linnea (T), majbräken (T), spillkråka (T, §4), stjärtmes (T, §4)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17195-2026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6628939, E 588012 i SWEREF 99 TM.</w:t>
      </w:r>
    </w:p>
    <w:p>
      <w:pPr>
        <w:pStyle w:val="Heading2"/>
      </w:pPr>
      <w:r>
        <w:t>Fridlysta arter</w:t>
      </w:r>
    </w:p>
    <w:p>
      <w:r>
        <w:t>Följande fridlysta arter har sina livsmiljöer och växtplatser i den avverkningsanmälda skogen: talltita (NT, §4), plattlummer (S, T, §9), blåsippa (T, §9), spillkråka (T, §4), stjärtmes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