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som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ädellav (VU, T), duvhök (NT, §4), entita (NT, T, §4), gulsparv (NT, §4), kungsörn (NT, §4), scharlakansskål (S), fjällvråk (§4), gröngöling (§4), havsörn (§4), skogsduva (§4) och trädlärka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2"/>
      </w:pPr>
      <w:r>
        <w:t>Fridlysta arter</w:t>
      </w:r>
    </w:p>
    <w:p>
      <w:r>
        <w:t>Följande fridlysta arter har sina livsmiljöer och växtplatser i den avverkningsanmälda skogen: stare (VU, §4), duvhök (NT, §4), entita (NT, T, §4), gulsparv (NT, §4), kungsörn (NT, §4), fjällvråk (§4), gröngöling (§4), havsörn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