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25683-2023 i Västerås kommun</w:t>
      </w:r>
    </w:p>
    <w:p>
      <w:r>
        <w:t>Detta dokument behandlar höga naturvärden i avverkningsanmälan A 25683-2023 i Västerås kommun. Denna avverkningsanmälan inkom 2023-06-12 00:00:00 och omfattar 14,0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fransfladdermus (NT, §4a), nordfladdermus (NT, §4a), spillkråka (NT, §4), sävsparv (NT, §4), talltita (NT, §4), ullticka (NT), brandticka (S), bronshjon (S), thomsons trägnagare (S), större brunfladdermus (§4a) och vattenfladdermus (§4a).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4946"/>
            <wp:docPr id="1" name="Picture 1"/>
            <wp:cNvGraphicFramePr>
              <a:graphicFrameLocks noChangeAspect="1"/>
            </wp:cNvGraphicFramePr>
            <a:graphic>
              <a:graphicData uri="http://schemas.openxmlformats.org/drawingml/2006/picture">
                <pic:pic>
                  <pic:nvPicPr>
                    <pic:cNvPr id="0" name="A 25683-2023 karta.png"/>
                    <pic:cNvPicPr/>
                  </pic:nvPicPr>
                  <pic:blipFill>
                    <a:blip r:embed="rId16"/>
                    <a:stretch>
                      <a:fillRect/>
                    </a:stretch>
                  </pic:blipFill>
                  <pic:spPr>
                    <a:xfrm>
                      <a:off x="0" y="0"/>
                      <a:ext cx="5486400" cy="4984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6615901, E 587984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fransfladdermus (NT, §4a), nordfladdermus (NT, §4a), spillkråka (NT, §4), sävsparv (NT, §4), talltita (NT, §4), större brunfladdermus (§4a) och vattenfladdermus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Fransfladdermus (NT, §4a)</w:t>
      </w:r>
      <w:r>
        <w:t xml:space="preserve"> omfattas av bilaga 4 EU:s art- och habitatdirektiv vilket innebär ett strikt skydd för arten och dess livsmiljöer. Arten är känslig för fragmentering av skogsbiotoper och undviker att passera öppna områden. Avverkning av hålträd, dränering, minskad biotopvariation, till exempel igenplantering av ängs- och hagmark påverkar arten negativt och det är viktigt att bevara ett varierat landskap med inslag av sumpskogar och lövrika skogar intill vatten och vattendrag (SLU Artdatabanken, 2024).</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Fransfladdermus – ekologi samt krav på livsmiljön</w:t>
      </w:r>
    </w:p>
    <w:p>
      <w:r>
        <w:t>Fransfladdermus (NT, §4a) omfattas av bilaga 4 EU:s art- och habitatdirektiv vilket innebär ett strikt skydd för arten och dess livsmiljöer. Arten är skogslevande och undviker att flyga i öppna områden. Den förekommer i barr- och lövskog, ofta nära vattendrag eller sumpskog. Den föredrar lite blötare lövrik skog, men påträffas även i trädgårdar och parker, ibland också i lövrika hagmarker (SLU Artdatabanken, 2024).</w:t>
      </w:r>
    </w:p>
    <w:p>
      <w:r>
        <w:t>Arten är känslig för fragmentering av skogsbiotoper och undviker att passera öppna områden. Avverkning av hålträd, dränering, minskad biotopvariation, till exempel igenplantering av ängs- och hagmark påverkar arten negativt. Gamla träd med grov bark, skador, håligheter eller döda delar bör lämnas och yngre träd (efterträdare) tillåtas finnas kvar och åldras för att säkra framtida förekomst av lämpliga yngelmiljöer. För fransfladdermus är det särskilt värdefullt att bevara eller skapa lövrika skogar vid vattendrag och sumpskogar med många ihåliga träd samt bevara äldre byggnader som gamla kvarnar och andra byggnader med valvgångar, kanaler och stenbroar mm (SLU Artdatabanken, 2024).</w:t>
      </w:r>
    </w:p>
    <w:p>
      <w:r>
        <w:t>Under året utnyttjar fladdermöss många olika miljöer och ett effektivt bevarandearbete måste därför utgå från ett landskapsekologiskt perspektiv. Ett varierat landskap med hög andel äldre lövträd, småvatten, sumpskogar, öppna våtmarker, ängar och betesmarker gynnar insektsproduktion vilket skapar förutsättningar för fladdermöss att hitta tillräckligt med föda (SLU Artdatabanken, 2024).</w:t>
      </w:r>
    </w:p>
    <w:p>
      <w:pPr>
        <w:pStyle w:val="Heading2"/>
      </w:pPr>
      <w:r>
        <w:t>Referenser – fransfladdermus</w:t>
      </w:r>
    </w:p>
    <w:p>
      <w:r>
        <w:t>SLU Artdatabanken, 2024.</w:t>
      </w:r>
      <w:r>
        <w:rPr>
          <w:i/>
        </w:rPr>
        <w:t xml:space="preserve"> Artfakta: fransfladdermus (Myotis nattereri)</w:t>
      </w:r>
      <w:r>
        <w:t>.</w:t>
      </w:r>
      <w:r>
        <w:rPr>
          <w:i/>
        </w:rPr>
        <w:t xml:space="preserve"> </w:t>
      </w:r>
      <w:r>
        <w:t>https://artfakta.se/taxa/100087</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