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37464-2021 i Västerås kommun</w:t>
      </w:r>
    </w:p>
    <w:p>
      <w:r>
        <w:t>Detta dokument behandlar höga naturvärden i avverkningsanmälan A 37464-2021 i Västerås kommun. Denna avverkningsanmälan inkom 2021-07-21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37464-2021 karta.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6604004, E 599397 i SWEREF 99 TM.</w:t>
      </w:r>
    </w:p>
    <w:p>
      <w:pPr>
        <w:pStyle w:val="Heading1"/>
      </w:pPr>
      <w:r>
        <w:t>Fridlysta arter</w:t>
      </w:r>
    </w:p>
    <w:p>
      <w:r>
        <w:t>Följande fridlysta arter har sina livsmiljöer och växtplatser i den avverkningsanmälda skogen: mistel (§8).</w:t>
      </w:r>
    </w:p>
    <w:p>
      <w:r>
        <w:rPr>
          <w:b/>
        </w:rPr>
        <w:t>Mistel (§8)</w:t>
      </w:r>
      <w:r>
        <w:t xml:space="preserve"> är en trädlevande parasit som växer framförallt på lind och lönn, men även på andra träd som äppelträd, hagtorn och popplar. Lindbestånd med förekomst av mistlar är värdefulla eftersom den vedstruktur som mistelangreppen skapar är attraktiva yngelplatser för flera sällsynta skalbaggsarter som omfattas av ett åtgärdsprogram för hotade arter (ÅGP). Bland dessa kan nämnas lindskenknäppare (CR), lindgrengnagare (EN), ögonfläcksbock (EN) och lindfläckbock (VU). Träden bör vara över 150 år för att hysa arterna som dessutom är beroende av död lindved. Mistel är fridlyst enligt 8§ artskyddsförordningen (SLU Artdatabanken, 2024; Naturvårdsverket, 2024; Ehnström,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