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51147-2023 i Västerås kommun</w:t>
      </w:r>
    </w:p>
    <w:p>
      <w:r>
        <w:t>Denna tillsynsbegäran behandlar höga naturvärden i avverkningsanmälan A 51147-2023 i Västerås kommun som inkom 2023-10-20 och omfattar 1,4 ha.</w:t>
      </w:r>
    </w:p>
    <w:p>
      <w:pPr>
        <w:pStyle w:val="Caption"/>
      </w:pPr>
      <w:r>
        <w:drawing>
          <wp:inline xmlns:a="http://schemas.openxmlformats.org/drawingml/2006/main" xmlns:pic="http://schemas.openxmlformats.org/drawingml/2006/picture">
            <wp:extent cx="5486400" cy="3523739"/>
            <wp:docPr id="1" name="Picture 1"/>
            <wp:cNvGraphicFramePr>
              <a:graphicFrameLocks noChangeAspect="1"/>
            </wp:cNvGraphicFramePr>
            <a:graphic>
              <a:graphicData uri="http://schemas.openxmlformats.org/drawingml/2006/picture">
                <pic:pic>
                  <pic:nvPicPr>
                    <pic:cNvPr id="0" name="A 51147-2023 karta.png"/>
                    <pic:cNvPicPr/>
                  </pic:nvPicPr>
                  <pic:blipFill>
                    <a:blip r:embed="rId16"/>
                    <a:stretch>
                      <a:fillRect/>
                    </a:stretch>
                  </pic:blipFill>
                  <pic:spPr>
                    <a:xfrm>
                      <a:off x="0" y="0"/>
                      <a:ext cx="5486400" cy="3523739"/>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6628904, E 587596 i SWEREF 99 TM.</w:t>
      </w:r>
    </w:p>
    <w:p>
      <w:r>
        <w:t>I avverkningsanmälan finns fynd av 1 naturvårdsarter, varav 1 är typisk (T) och 1 är signalart (S): mindre märgborre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Mindre märgborre</w:t>
      </w:r>
      <w:r>
        <w:t xml:space="preserve"> är en signalart för tallskog med höga naturvärden och betraktas tillsammans med skarptandad barkborre som nyckelarter för ett antal sällsynta åtgärdsprogramsarter som är beroende av deras gångsystem. Bland dessa kan nämnas avlång barkborre (VU), </w:t>
      </w:r>
      <w:r>
        <w:rPr>
          <w:i/>
        </w:rPr>
        <w:t>Corticeus longulus</w:t>
      </w:r>
      <w:r>
        <w:t xml:space="preserve"> (VU), tallgångbagge (VU), cholodkovskys bastborre (NT) och tallbarksvartbagge (NT). Den mindre märgborrens måsvingeliknande gnaggångar är lätta att känna igen och hittas ofta på grova tallgrenar på marken. Rika förekomster av främst mindre märgborre men även skarptandad barkborre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Mindre märgborre är typisk art för </w:t>
      </w:r>
      <w:r>
        <w:rPr>
          <w:i/>
        </w:rPr>
        <w:t>9060 Åsbarrskog</w:t>
      </w:r>
      <w:r>
        <w:t xml:space="preserve"> (SLU Artdatabanken, 2026; Pettersson, 2014; Hedgren, 2012; Gunnarsson m fl., 1999).</w:t>
      </w:r>
    </w:p>
    <w:p>
      <w:r>
        <w:br w:type="page"/>
      </w:r>
    </w:p>
    <w:p>
      <w:pPr>
        <w:pStyle w:val="Title"/>
      </w:pPr>
      <w:r>
        <w:t>BILAGA 1 – Rödlistade arter</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som nyckelarter, eftersom en rad sällsynta efterföljande arter är beroende av deras gångsystem. Bland dessa kan nämnas åtgärdsprogramsarterna avlång barkborre (VU), </w:t>
      </w:r>
      <w:r>
        <w:rPr>
          <w:i/>
        </w:rPr>
        <w:t>Corticeus longulus</w:t>
      </w:r>
      <w:r>
        <w:t xml:space="preserve"> (VU), tallgångbagge (VU), cholodkovskys bastborre (NT) och tallbarksvartbagge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De barkborrar som missgynnas av större märgborre är i mycket högre grad gynnade av tallar som dör genom självgallring, dvs. i normalfallet skog som inte används till skogsproduktion (Pettersson, 2014; Wikars, skriftl.).</w:t>
      </w:r>
    </w:p>
    <w:p>
      <w:r>
        <w:t xml:space="preserve">Rika förekomster av främst mindre märgborre men även skarptandad barkborre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Mindre märgborre är typisk art för </w:t>
      </w:r>
      <w:r>
        <w:rPr>
          <w:i/>
        </w:rPr>
        <w:t>9060 Åsbarrskog</w:t>
      </w:r>
      <w:r>
        <w:t xml:space="preserve"> (Pettersson, 2014; SLU Artdatabanken, 2026).</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SLU Artdatabanken, 2026. </w:t>
      </w:r>
      <w:r>
        <w:rPr>
          <w:i/>
        </w:rPr>
        <w:t xml:space="preserve">Artfaktablad. Naturvård – artfakta. </w:t>
      </w:r>
      <w:r>
        <w:t>SLU Artdatabanken, Uppsala.</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