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12276-2023 i Sala kommun</w:t>
      </w:r>
    </w:p>
    <w:p>
      <w:r>
        <w:t>Detta dokument behandlar höga naturvärden i avverkningsanmälan A 12276-2023 i Sala kommun. Denna avverkningsanmälan inkom 2023-03-10 00:00:00 och omfattar 28,6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gaffelskinn (VU), knärot (VU, §8), laxgröppa (VU), laxporing (VU), rynkskinn (VU), smal skuggbagge (VU), tallbarksvartbagge (VU), ulltickeporing (VU), vågticka (VU), gransotdyna (NT), granvivel (NT), gränsticka (NT), mindre hackspett (NT, §4), motaggsvamp (NT), orange taggsvamp (NT), spillkråka (NT, §4), svartvit taggsvamp (NT), såpfingersvamp (NT), tallticka (NT), talltita (NT, §4), ullticka (NT), vedtrappmossa (NT), björksplintborre (S), brandticka (S), bronshjon (S), gulgrön kantmusseron (S), gullgröppa (S), ljus vedstrit (S), mindre märgborre (S), platt fjädermossa (S), rökmusseron (S), skarp dropptaggsvamp (S), sotriska (S), thomsons trägnagare (S), Thymalus limbatus (S), vanlig flatbagge (S), vedticka (S), vågbandad barkbock (S), tjäder (§4), mindre vattensalamander (§6) och hårklomossa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828"/>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011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Gaffelskinn (VU)</w:t>
      </w:r>
      <w:r>
        <w:t xml:space="preserve"> är en nedbrytare i grova och starkt nedbrutna lågor eller stubbar av gran. Den anträffas främst i äldre, naturskogsliknande granskog, ofta i det som man ibland kallar bondeskogar, dvs skogar som har utnyttjats extensivt med plockhuggning och bete som främsta påverkansfaktorer. Arten hotas av slutavverkning av äldre barrskog samt av att det endast sker en begränsad nybildningen av grova granlågor i uppväxande generationer av kulturskog. I Götaland bör fler äldre bondskogar samt mindre bestånd med äldre skog av nyckelbiotopskaraktär undantas från skogsbruk (SLU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Tallbarksvartbagge (NT) </w:t>
      </w:r>
      <w:r>
        <w:t>är en skalbagge vars larvutveckling sker i gångsystemen av olika barkborrar på barrträd. De nutida fynden är främst gjorda på tall hos mindre märgborre, skarptandad barkborre och tolvtandad barkborre. Tallbarksvartbagge ingår i ett åtgärdsprogram för hotade arter (ÅGP) och är rödlistad som sårbar (VU) på den europeiska rödlistan vilket innebär att Sverige har ett internationellt ansvar för arten (SLU Artdatabanken, 2026; IUCN, 2016; Pettersson,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mindre hackspett (NT, §4), spillkråka (NT, §4), talltita (NT, §4), tjäder (§4), mindre vattensalamander (§6) och hårklomossa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68 fyndplatser för knärot registrerade på Artportalen. Figur 2 visar gränserna för buffertzoner på 50 m, som behöver lämnas kring fyndplatserna för att knärotslokalerna inte ska försvinna vid en avverkning. Av det avverkningsanmälda området överlappar 14.24 ha med buffertzonerna och får av detta skäl inte avverkas.</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