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gaffelskinn (VU), knärot (VU, §8), laxgröppa (VU), laxporing (VU), rynkskinn (VU), smal skuggbagge (VU), tallbarksvartbagge (VU), ulltickeporing (VU), vågticka (VU), gransotdyna (NT), granvivel (NT), gränsticka (NT), mindre hackspett (NT, §4), motaggsvamp (NT), orange taggsvamp (NT), spillkråka (NT, §4), svartvit taggsvamp (NT), såpfingersvamp (NT), tallticka (NT), talltita (NT, §4), ullticka (NT), vedtrappmossa (NT), björksplintborre (S), brandticka (S), bronshjon (S), gulgrön kantmusseron (S), gullgröppa (S), ljus vedstrit (S), mindre märgborre (S), platt fjädermossa (S), rökmusseron (S), skarp dropptaggsvamp (S), sotriska (S), thomsons trägnagare (S), Thymalus limbatus (S), vanlig flatbagge (S), vedticka (S), vågbandad barkbock (S), tjäder (§4), mindre vattensalamander (§6) och hårklomossa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(NT) </w:t>
      </w:r>
      <w:r>
        <w:t>är en skalbagge vars larvutveckling sker i gångsystemen av olika barkborrar på barrträd. De nutida fynden är främst gjorda på tall hos mindre märgborre, skarptandad barkborre och tolvtandad barkborre. Tallbarksvartbagge ingår i ett åtgärdsprogram för hotade arter (ÅGP) och är rödlistad som sårbar (VU) på den europeiska rödlistan vilket innebär att Sverige har ett internationellt ansvar för arten (SLU Artdatabanken, 2026; IUCN, 2016;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mindre hackspett (NT, §4), spillkråka (NT, §4), talltita (NT, §4), tjäder (§4), mindre vattensalamander (§6) och hårklomossa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