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40045-2026 i Sala kommun</w:t>
      </w:r>
    </w:p>
    <w:p>
      <w:r>
        <w:t>Detta klagomål behandlar höga naturvärden i avverkningsanmälan A 40045-2026 i Sala kommun som inkom 2026-09-28 och omfattar 12,4 ha.</w:t>
      </w:r>
    </w:p>
    <w:p>
      <w:pPr>
        <w:pStyle w:val="Caption"/>
      </w:pPr>
      <w:r>
        <w:drawing>
          <wp:inline xmlns:a="http://schemas.openxmlformats.org/drawingml/2006/main" xmlns:pic="http://schemas.openxmlformats.org/drawingml/2006/picture">
            <wp:extent cx="5486400" cy="3503000"/>
            <wp:docPr id="1" name="Picture 1"/>
            <wp:cNvGraphicFramePr>
              <a:graphicFrameLocks noChangeAspect="1"/>
            </wp:cNvGraphicFramePr>
            <a:graphic>
              <a:graphicData uri="http://schemas.openxmlformats.org/drawingml/2006/picture">
                <pic:pic>
                  <pic:nvPicPr>
                    <pic:cNvPr id="0" name="A 40045-2026 karta.png"/>
                    <pic:cNvPicPr/>
                  </pic:nvPicPr>
                  <pic:blipFill>
                    <a:blip r:embed="rId16"/>
                    <a:stretch>
                      <a:fillRect/>
                    </a:stretch>
                  </pic:blipFill>
                  <pic:spPr>
                    <a:xfrm>
                      <a:off x="0" y="0"/>
                      <a:ext cx="5486400" cy="3503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6660016, E 574207 i SWEREF 99 TM.</w:t>
      </w:r>
    </w:p>
    <w:p>
      <w:r>
        <w:t>I och inom 17 meter från avverkningsanmälan finns fynd av 10 naturvårdsarter, varav 6 är rödlistade, 3 är fridlysta, 4 är typiska (T) och 3 är signalarter (S): lakritsmusseron (VU, T), dropptaggsvamp (NT, T), mellanlummer (NT, §9), motaggsvamp (NT, T), tallfingersvamp (NT), tallkötticka (NT), blomkålssvamp (S), plattlummer (S, T, §9), smal svampklubba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