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27488-2023 i Sala kommun</w:t>
      </w:r>
    </w:p>
    <w:p>
      <w:r>
        <w:t>Detta klagomål behandlar höga naturvärden i avverkningsanmälan A 27488-2023 i Sala kommun som inkom 2023-06-20 och omfattar 9,3 ha.</w:t>
      </w:r>
    </w:p>
    <w:p>
      <w:pPr>
        <w:pStyle w:val="Caption"/>
      </w:pPr>
      <w:r>
        <w:drawing>
          <wp:inline xmlns:a="http://schemas.openxmlformats.org/drawingml/2006/main" xmlns:pic="http://schemas.openxmlformats.org/drawingml/2006/picture">
            <wp:extent cx="5486400" cy="3297496"/>
            <wp:docPr id="1" name="Picture 1"/>
            <wp:cNvGraphicFramePr>
              <a:graphicFrameLocks noChangeAspect="1"/>
            </wp:cNvGraphicFramePr>
            <a:graphic>
              <a:graphicData uri="http://schemas.openxmlformats.org/drawingml/2006/picture">
                <pic:pic>
                  <pic:nvPicPr>
                    <pic:cNvPr id="0" name="A 27488-2023 karta.png"/>
                    <pic:cNvPicPr/>
                  </pic:nvPicPr>
                  <pic:blipFill>
                    <a:blip r:embed="rId16"/>
                    <a:stretch>
                      <a:fillRect/>
                    </a:stretch>
                  </pic:blipFill>
                  <pic:spPr>
                    <a:xfrm>
                      <a:off x="0" y="0"/>
                      <a:ext cx="5486400" cy="3297496"/>
                    </a:xfrm>
                    <a:prstGeom prst="rect"/>
                  </pic:spPr>
                </pic:pic>
              </a:graphicData>
            </a:graphic>
          </wp:inline>
        </w:drawing>
      </w:r>
    </w:p>
    <w:p>
      <w:pPr>
        <w:pStyle w:val="Caption"/>
        <w:spacing w:after="240"/>
      </w:pPr>
      <w:r>
        <w:t>Figur 1. Fyndplatser för naturvårdsarter i och inom 14 meter från avverkningsanmälan. Markörer utan svart kant är placerade på fyndplatsen. Markörer med svart kant är placerade vid sidan av fyndplatsen och har ett svart streck som visar fyndplatsens exakta position. Kartans mittpunktskoordinat är N 6659219, E 574592 i SWEREF 99 TM.</w:t>
      </w:r>
    </w:p>
    <w:p>
      <w:r>
        <w:t>I och inom 14 meter från avverkningsanmälan finns fynd av 6 naturvårdsarter, varav 3 är rödlistade, 2 är fridlysta, 3 är typiska (T) och 2 är signalarter (S): dropptaggsvamp (NT, T), motaggsvamp (NT, T), tallfingersvamp (NT), blomkålssvamp (S), plattlummer (S, T, §9) och revlummer (§9).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Dropptaggsvamp (NT)</w:t>
      </w:r>
      <w:r>
        <w:t xml:space="preserve"> bildar mykorrhiza med tall, främst i barrskog med trädkontinuitet, i magra, torra och ljusöppna lavtallskogar och i barrblandskogar med friskmossor och lingon i fältskiktet. Den totala populationen i landet har minskat och bedöms fortsätta minska till följd av slutavverkningar av tallskog. Det är högst oklart om arten långsiktigt kan etablera och reproducera sig i skogsbestånd som brukas med trakthyggesmetoder, markberedning, gödsling eller föryngring med förädlat plantmaterial. Uppfyller kriterierna för att bli rödlistad på grund av ny kunskap som visar att en större andel av populationen än tidigare bedömt är knuten till kontinuitetsbarrskog. Minskningstakten för den svenska populationen bedöms vara nära gränsvärdet för Sårbar (VU). Dropptaggsvamp är typisk art för </w:t>
      </w:r>
      <w:r>
        <w:rPr>
          <w:i/>
        </w:rPr>
        <w:t xml:space="preserve">9010 Taiga </w:t>
      </w:r>
      <w:r>
        <w:t>(SLU Artdatabanken, 2026).</w:t>
      </w:r>
    </w:p>
    <w:p>
      <w:r>
        <w:rPr>
          <w:b/>
        </w:rPr>
        <w:t xml:space="preserve">Motaggsvamp (NT) </w:t>
      </w:r>
      <w:r>
        <w:t xml:space="preserve">bildar mykorrhiza med tall i tallskog och hittas huvudsakligen i äldre, glesare skogsbestånd och hällmarksimpediment. Arten hotas främst av skogsavverkning och tycks försvinna efter slutavverkning, markberedning och plantering. Motaggsvamp är typisk art för </w:t>
      </w:r>
      <w:r>
        <w:rPr>
          <w:i/>
        </w:rPr>
        <w:t>9010 Taiga</w:t>
      </w:r>
      <w:r>
        <w:t xml:space="preserve"> (SLU Artdatabanken, 2024).</w:t>
      </w:r>
    </w:p>
    <w:p>
      <w:r>
        <w:rPr>
          <w:b/>
        </w:rPr>
        <w:t xml:space="preserve">Tallfingersvamp (NT) </w:t>
      </w:r>
      <w:r>
        <w:t>bildar mykorrhiza med tall och gran i äldre barrskog, framför allt sandtallskog men även i annan näringsfattig barrskog, huvudsakligen i äldre kontinuitetsskog. Den totala populationen i landet har minskat och bedöms fortsätta minska till följd av avverkning av barrskogar med trädkontinuitet. Minskningstakten för den svenska populationen bedöms vara nära gränsvärdet för Sårbar (VU). Slutavverkning, gödsling eller exploatering måste undvikas (SLU Artdatabanken, 2026).</w:t>
      </w:r>
    </w:p>
    <w:p>
      <w:r>
        <w:rPr>
          <w:b/>
        </w:rPr>
        <w:t xml:space="preserve">Blomkålssvamp </w:t>
      </w:r>
      <w:r>
        <w:t>är en parasit och vednedbrytare som växer på rötter och basala stamdelar av tall, enstaka gånger även på lärk och gran. Träden är oftast mycket gamla, gärna 150–200 år eller äldre. När blomkålssvamp påträffas i skogslandskapet signalerar den vanligtvis skyddsvärda tallbestånd med höga naturvärden. Den är då främst knuten till gamla skogar, oftast tallnaturskogar och olika restbiotoper där det förekommer biologiskt gamla träd. Samtliga tallar med blomkålssvamp bör klassas som naturvårdsträd och lämnas som framtida ”evighetsträd” (Nitare &amp; Skogsstyrelsen, 2019).</w:t>
      </w:r>
    </w:p>
    <w:p>
      <w:r>
        <w:rPr>
          <w:b/>
        </w:rPr>
        <w:t>Plattlummer (§9)</w:t>
      </w:r>
      <w:r>
        <w:t xml:space="preserve"> växer främst i ljusöppna sandtallskogar eller annan gles, torr och brandpräglad hedbarrskog. Den är mest frekvent i olika typer av naturskogar och kontinuitetsskogar och missgynnas markant av slutavverkning och maskinell markberedning. Söder ut i landet förekommer de närstående arterna cypresslummer (EN, §8) och mellanlummer (NT, §9), vilka båda omfattas av EU:s art- och habitatdirektiv. Plattlummer är typisk art för </w:t>
      </w:r>
      <w:r>
        <w:rPr>
          <w:i/>
        </w:rPr>
        <w:t xml:space="preserve">9010 Taiga </w:t>
      </w:r>
      <w:r>
        <w:t>och</w:t>
      </w:r>
      <w:r>
        <w:rPr>
          <w:i/>
        </w:rPr>
        <w:t xml:space="preserve"> 2320 Rissandhedar </w:t>
      </w:r>
      <w:r>
        <w:t>(Nitare &amp; Skogsstyrelsen, 2019; SLU Artdatabanken, 2026).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6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2026-09-18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