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3631-2024 i Sala kommun</w:t>
      </w:r>
    </w:p>
    <w:p>
      <w:r>
        <w:t>Denna tillsynsbegäran behandlar höga naturvärden i samrådsanmälan S 3631-2024 i Sala kommun som inkom 2024-09-13 och omfattar 129,8 ha.</w:t>
      </w:r>
    </w:p>
    <w:p>
      <w:pPr>
        <w:pStyle w:val="Caption"/>
      </w:pPr>
      <w:r>
        <w:drawing>
          <wp:inline xmlns:a="http://schemas.openxmlformats.org/drawingml/2006/main" xmlns:pic="http://schemas.openxmlformats.org/drawingml/2006/picture">
            <wp:extent cx="5486400" cy="5165889"/>
            <wp:docPr id="1" name="Picture 1"/>
            <wp:cNvGraphicFramePr>
              <a:graphicFrameLocks noChangeAspect="1"/>
            </wp:cNvGraphicFramePr>
            <a:graphic>
              <a:graphicData uri="http://schemas.openxmlformats.org/drawingml/2006/picture">
                <pic:pic>
                  <pic:nvPicPr>
                    <pic:cNvPr id="0" name="S 3631-2024 karta.png"/>
                    <pic:cNvPicPr/>
                  </pic:nvPicPr>
                  <pic:blipFill>
                    <a:blip r:embed="rId16"/>
                    <a:stretch>
                      <a:fillRect/>
                    </a:stretch>
                  </pic:blipFill>
                  <pic:spPr>
                    <a:xfrm>
                      <a:off x="0" y="0"/>
                      <a:ext cx="5486400" cy="5165889"/>
                    </a:xfrm>
                    <a:prstGeom prst="rect"/>
                  </pic:spPr>
                </pic:pic>
              </a:graphicData>
            </a:graphic>
          </wp:inline>
        </w:drawing>
      </w:r>
    </w:p>
    <w:p>
      <w:pPr>
        <w:pStyle w:val="Caption"/>
        <w:spacing w:after="240"/>
      </w:pPr>
      <w:r>
        <w:t>Figur 1. Fyndplatser för naturvårdsarter i och inom 20 meter från samrådsanmälan. Markörer utan svart kant är placerade på fyndplatsen. Markörer med svart kant är placerade vid sidan av fyndplatsen och har ett svart streck som visar fyndplatsens exakta position. Kartans mittpunktskoordinat är N 6630122, E 570971 i SWEREF 99 TM.</w:t>
      </w:r>
    </w:p>
    <w:p>
      <w:r>
        <w:t>I och inom 20 meter från samrådsanmälan finns fynd av 10 naturvårdsarter, varav 2 är rödlistade, 4 är fridlysta, 7 är typiska (T) och 5 är signalarter (S): väddnätfjäril (VU, §6), gullpudra (NT, T), bågpraktmossa (S, T), guldlockmossa (S, T), klippfrullania (S, T), platt fjädermossa (S, T), vanlig rörsvepemossa (S, T), blåsippa (T, §9),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 xml:space="preserve">Bågpraktmossa </w:t>
      </w:r>
      <w:r>
        <w:t xml:space="preserve">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och är typisk art för </w:t>
      </w:r>
      <w:r>
        <w:rPr>
          <w:i/>
        </w:rPr>
        <w:t xml:space="preserve">9080 Lövsumpskog, 9750 Svämlövskog </w:t>
      </w:r>
      <w:r>
        <w:t xml:space="preserve">och </w:t>
      </w:r>
      <w:r>
        <w:rPr>
          <w:i/>
        </w:rPr>
        <w:t>7160 Källor och källkärr</w:t>
      </w:r>
      <w:r>
        <w:t xml:space="preserve"> (SLU Artdatabanken, 2025;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Vanlig rörsvepemossa </w:t>
      </w:r>
      <w:r>
        <w:t xml:space="preserve">signalerar överallt skog med höga naturvärden och indikerar bestånd som haft kontinuerligt god tillgång på murken ved, konstant hög luftfuktighet och beskuggad näringsrik mark. Där den växer finns oftast en rad andra rödlistade och skyddsvärda mossor. Arten är känslig för större avverkningar men tål ofta plockhuggning som bevarar ett tätare trädskikt. Vanlig rörsvepemossa är typisk art för </w:t>
      </w:r>
      <w:r>
        <w:rPr>
          <w:i/>
        </w:rPr>
        <w:t xml:space="preserve">9080 Lövsumpskog </w:t>
      </w:r>
      <w:r>
        <w:t xml:space="preserve">och </w:t>
      </w:r>
      <w:r>
        <w:rPr>
          <w:i/>
        </w:rPr>
        <w:t>9750 Svämlövskog</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gullpudra (NT, T), bågpraktmossa (S, T), guldlockmossa (S, T), klippfrullania (S, T), platt fjädermossa (S, T), vanlig rörsvepemossa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