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pPr>
        <w:pStyle w:val="Title"/>
      </w:pPr>
      <w:r>
        <w:t>Tillsynsbegäran – information om höga naturvärden i avverkningsanmälan A 47850-2022 i Sala kommun</w:t>
      </w:r>
    </w:p>
    <w:p>
      <w:r>
        <w:t>Denna tillsynsbegäran behandlar höga naturvärden i avverkningsanmälan A 47850-2022 i Sala kommun som inkom 2022-10-21 och omfattar 4,7 ha.</w:t>
      </w:r>
    </w:p>
    <w:p>
      <w:pPr>
        <w:pStyle w:val="Caption"/>
      </w:pPr>
      <w:r>
        <w:drawing>
          <wp:inline xmlns:a="http://schemas.openxmlformats.org/drawingml/2006/main" xmlns:pic="http://schemas.openxmlformats.org/drawingml/2006/picture">
            <wp:extent cx="5357620" cy="5724000"/>
            <wp:docPr id="1" name="Picture 1"/>
            <wp:cNvGraphicFramePr>
              <a:graphicFrameLocks noChangeAspect="1"/>
            </wp:cNvGraphicFramePr>
            <a:graphic>
              <a:graphicData uri="http://schemas.openxmlformats.org/drawingml/2006/picture">
                <pic:pic>
                  <pic:nvPicPr>
                    <pic:cNvPr id="0" name="A 47850-2022 karta.png"/>
                    <pic:cNvPicPr/>
                  </pic:nvPicPr>
                  <pic:blipFill>
                    <a:blip r:embed="rId16"/>
                    <a:stretch>
                      <a:fillRect/>
                    </a:stretch>
                  </pic:blipFill>
                  <pic:spPr>
                    <a:xfrm>
                      <a:off x="0" y="0"/>
                      <a:ext cx="5357620" cy="5724000"/>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6669804, E 595397 i SWEREF 99 TM.</w:t>
      </w:r>
    </w:p>
    <w:p>
      <w:r>
        <w:t>I avverkningsanmälan finns fynd av 14 naturvårdsarter, varav 10 är rödlistade, 12 är typiska (T) och 4 är signalarter (S): garnlav (VU, T), raggbock (VU, T), apelsinticka (NT), kolflarnlav (NT, T), kortskaftad ärgspik (NT), motaggsvamp (NT, T), rosenticka (NT, T), ullticka (NT, T), vedskivlav (NT, T), vedtrappmossa (NT, T), flagellkvastmossa (S, T), grönpyrola (S, T), sotlav (S, T) och vedticka (S, T). Se Figur 1.</w:t>
      </w:r>
    </w:p>
    <w:p>
      <w:pPr>
        <w:pStyle w:val="Heading1"/>
      </w:pPr>
      <w:r>
        <w:t>Tillsynsbegäran</w:t>
      </w:r>
    </w:p>
    <w:p>
      <w:r>
        <w:t>Vi begär härmed att Skogsstyrelsen fattar beslut enligt miljöbalken som säkerställer att skogens höga naturvärden bevaras samt att EU-lagstiftning efterlevs och att artskyddsbrott förhindras.</w:t>
      </w:r>
    </w:p>
    <w:p>
      <w:r>
        <w:t>Vi begär vidare att Skogsstyrelsen säkerställer att inga skador eller försämringar av naturtypens bevarandestatus i området tillåts ske. Se Rådets direktiv 92/43/EEG samt ickeförsämringskravet i EU:s naturrestaureringsförordning (EU 2024/1991).</w:t>
      </w:r>
    </w:p>
    <w:p>
      <w:r>
        <w:t>Vi önskar även ta del av de ställningstaganden och beslut som myndigheten meddelar till följd av aktuell avverkningsanmälan och föreningens inlaga (se 34 § förvaltningslagen).</w:t>
      </w:r>
    </w:p>
    <w:p>
      <w:pPr>
        <w:pStyle w:val="Heading1"/>
      </w:pPr>
      <w:r>
        <w:t>Naturvårdsarter och fridlysta arter</w:t>
      </w:r>
    </w:p>
    <w:p>
      <w:r>
        <w:t>Nedan följer beskrivningar av de naturvårdsarter och fridlysta arter som har sina livsmiljöer och växtplatser i den avverkningsanmälda skogen. De påträffade naturvårdsarterna är ett tydligt kvitto på att det rör sig om en skog med höga naturvärden.</w:t>
      </w:r>
    </w:p>
    <w:p>
      <w:r>
        <w:rPr>
          <w:b/>
        </w:rPr>
        <w:t>Garnlav (VU)</w:t>
      </w:r>
      <w:r>
        <w:t xml:space="preserve"> är en utpräglad barrskogsart som ibland kan drapera träden i norrländska grannaturskogar med hög luftfuktighet. Den förekommer även i talldominerade bestånd där den, förutom i trädens grenverk, påträffas hängande över ojämnheter i tallbarken. Arten har minskat starkt i södra och mellersta Sverige och den minskar även i sitt nordliga utbredningsområde. Minskningstakten uppgår till 30 (20–50) % inom 50 år och överstiger gränsvärdet för Sårbar (VU). Orsaken till tillbakagången beror främst på slutavverkningar av naturskogsartade skogar. Bestånd med riklig förekomst bör regelmässigt sparas, vilket även gynnar flera andra sällsynta och rödlistade arter. Garnlav är värdväxt för den mycket sällsynta och akut hotade fjärilen barrskogslavfly (CR) som hör hemma i boreala barrskogar med riklig förekomst av värdväxten. Tidigare kunde arten konstateras årligen på flera platser vid Dala-Floda i Dalarna innan lokalerna kalavverkades. Senaste fyndet i landet av barrskogslavfly är från år 2000 då den påträffades vid Högberget i Sollefteå kommun. Garnlav är typisk art för </w:t>
      </w:r>
      <w:r>
        <w:rPr>
          <w:i/>
        </w:rPr>
        <w:t xml:space="preserve">9010 Taiga </w:t>
      </w:r>
      <w:r>
        <w:t>och</w:t>
      </w:r>
      <w:r>
        <w:rPr>
          <w:i/>
        </w:rPr>
        <w:t xml:space="preserve"> 9070 Trädklädd betesmark</w:t>
      </w:r>
      <w:r>
        <w:t xml:space="preserve"> (SLU Artdatabanken, 2026).</w:t>
      </w:r>
    </w:p>
    <w:p>
      <w:r>
        <w:rPr>
          <w:b/>
        </w:rPr>
        <w:t>Raggbock (VU)</w:t>
      </w:r>
      <w:r>
        <w:t xml:space="preserve"> är en brandgynnad skalbagge vars larvutveckling sker i äldre, liggande, solexponerade stammar av tall, mer sällan gran. Raggbock ingår i ett åtgärdsprogram för hotade arter (ÅGP) och den är rödlistad som nära hotad (NT) i den europeiska rödlistan. Raggbock är typisk art för </w:t>
      </w:r>
      <w:r>
        <w:rPr>
          <w:i/>
        </w:rPr>
        <w:t>9010 Taiga</w:t>
      </w:r>
      <w:r>
        <w:t xml:space="preserve"> och</w:t>
      </w:r>
      <w:r>
        <w:rPr>
          <w:i/>
        </w:rPr>
        <w:t xml:space="preserve"> 9060 Åsbarrskog</w:t>
      </w:r>
      <w:r>
        <w:t xml:space="preserve"> (SLU Artdatabanken, 2024; Wikars, 2014; IUCN, 2010).</w:t>
      </w:r>
    </w:p>
    <w:p>
      <w:r>
        <w:rPr>
          <w:b/>
        </w:rPr>
        <w:t xml:space="preserve">Apelsinticka (NT) </w:t>
      </w:r>
      <w:r>
        <w:t>växer mestadels på liggande ved av tall men även på granved. Artens ekologi och utbredning bör utredas ytterligare. Särskilt bör den eftersökas i de delar av Norrland där den ännu ej är funnen. I väntan på ytterligare detaljer om artens ståndortskrav bör fler tallskogar av naturskogskaraktär och med god tillgång på lågor sparas (SLU Artdatabanken, 2024).</w:t>
      </w:r>
    </w:p>
    <w:p>
      <w:r>
        <w:rPr>
          <w:b/>
        </w:rPr>
        <w:t>Kolflarnlav (NT)</w:t>
      </w:r>
      <w:r>
        <w:t xml:space="preserve"> är brandberoende och växer nästan uteslutande på kolad hård kärnved av tall. Etableringen verkar ske först 100–300 år efter brand och nytt substrat nybildas i mycket begränsad omfattning. Avverkning av tallskog av naturskogskaraktär med spår av återkommande bränder är ett hot och mängden lämplig ved att växa på för arten minskar dels på grund av naturlig nedbrytning men framförallt på grund av att det förstörs i samband med slutavverkningar, gallringar och markberedning. Såväl kolflarnlav som mörk kolflarnlav har glänsande bålfjäll och förekommer främst i tall- och blandbarrskogar av naturskogskaraktär med spår av återkommande bränder. Skogar som dessa hyser höga biologiska värden och bör skyddas. Kolflarnlav är typisk art för </w:t>
      </w:r>
      <w:r>
        <w:rPr>
          <w:i/>
        </w:rPr>
        <w:t>9010 Taiga</w:t>
      </w:r>
      <w:r>
        <w:t xml:space="preserve"> (SLU Artdatabanken, 2024).</w:t>
      </w:r>
    </w:p>
    <w:p>
      <w:r>
        <w:rPr>
          <w:b/>
        </w:rPr>
        <w:t>Kortskaftad ärgspik (NT)</w:t>
      </w:r>
      <w:r>
        <w:t xml:space="preserve"> förekommer i barrträdsdominerade skogar och växer nästan uteslutande på tallved. Den föredrar gamla högstubbar i fuktig och halvöppen miljö, t.ex. i myrkanter, sumpskog och brandpräglad skog. Arten indikerar kontinuerlig tillgång till gamla högstubbar i kombination med hög och jämn luftfuktighet. Skogsbruk på lokaler med kortskaftad ärgspik utgör ett hot. På lång sikt bildas färre lämpliga substrat än vad som försvinner. Avverkning av barrträdsdominerade bestånd av naturskogskaraktär utgör ett långsiktigt hot. Naturskogsartade bestånd med riklig förekomst av gamla och grova tallhögstubbar bör undantas från skogsbruk (SLU Artdatabanken, 2024).</w:t>
      </w:r>
    </w:p>
    <w:p>
      <w:r>
        <w:rPr>
          <w:b/>
        </w:rPr>
        <w:t xml:space="preserve">Motaggsvamp (NT) </w:t>
      </w:r>
      <w:r>
        <w:t xml:space="preserve">bildar mykorrhiza med tall i tallskog och hittas huvudsakligen i äldre, glesare skogsbestånd och hällmarksimpediment. Arten hotas främst av skogsavverkning och tycks försvinna efter slutavverkning, markberedning och plantering. Motaggsvamp är typisk art för </w:t>
      </w:r>
      <w:r>
        <w:rPr>
          <w:i/>
        </w:rPr>
        <w:t>9010 Taiga</w:t>
      </w:r>
      <w:r>
        <w:t xml:space="preserve"> (SLU Artdatabanken, 2024).</w:t>
      </w:r>
    </w:p>
    <w:p>
      <w:r>
        <w:rPr>
          <w:b/>
        </w:rPr>
        <w:t>Rosenticka (NT)</w:t>
      </w:r>
      <w:r>
        <w:t xml:space="preserve">, rödlistad som nära hotad, ingår i en karaktäristisk association av vedsvampar som växer på gamla, grova granlågor i urskogsartade barrskogar. Den är placerad i toppen av Skogsstyrelsens värdepyramid för bedömning av skog med höga naturvärden och indikerar ett granskogsekosystem med långvarig kontinuitet av grova lågor. Artens beroende av grova granlågor innebär att alla skogsskötselåtgärder på eller i omedelbar närhet av lokalerna utgör ett hot på lång sikt. Det är angeläget att populationerna inte ytterligare glesas ut och ett tillräckligt antal områden där arten nu finns måste sparas för framtiden. Rosenticka är typisk art för </w:t>
      </w:r>
      <w:r>
        <w:rPr>
          <w:i/>
        </w:rPr>
        <w:t xml:space="preserve">9010 Taiga </w:t>
      </w:r>
      <w:r>
        <w:t xml:space="preserve">och </w:t>
      </w:r>
      <w:r>
        <w:rPr>
          <w:i/>
        </w:rPr>
        <w:t>9050 Näringsrik granskog</w:t>
      </w:r>
      <w:r>
        <w:t xml:space="preserve"> (Nitare &amp; Skogsstyrelsen, 2019; SLU Artdatabanken, 2024).</w:t>
      </w:r>
    </w:p>
    <w:p>
      <w:r>
        <w:rPr>
          <w:b/>
        </w:rPr>
        <w:t>Ullticka (NT)</w:t>
      </w:r>
      <w:r>
        <w:t xml:space="preserve"> är knuten till restbestånd av barrnaturskog och förekommer med ett tydligt optimum i orörda eller måttligt påverkade gamla granskogar där det föreligger viss kontinuitet av grov död ved. Ullticka är en bra signalart inom hela sitt utbredningsområde och i södra Sverige är den sällsynt och en god signalart för skyddsvärda granskogsmiljöer. Den hotas av avverkning och fragmentering av naturskog och äldre granskog med lång trädkontinuitet. På ullticka kan ibland ulltickeporing (VU) påträffas - det är en sällsynt ticka som nyligen delats upp i de tre olika arterna ulltickeporing </w:t>
      </w:r>
      <w:r>
        <w:rPr>
          <w:i/>
        </w:rPr>
        <w:t xml:space="preserve">Skeletocutis brevispora </w:t>
      </w:r>
      <w:r>
        <w:t>(VU)</w:t>
      </w:r>
      <w:r>
        <w:rPr>
          <w:i/>
        </w:rPr>
        <w:t>, Skeletocutis delicata</w:t>
      </w:r>
      <w:r>
        <w:t xml:space="preserve"> (VU)</w:t>
      </w:r>
      <w:r>
        <w:rPr>
          <w:i/>
        </w:rPr>
        <w:t xml:space="preserve"> och Skeletocutis exilis</w:t>
      </w:r>
      <w:r>
        <w:t xml:space="preserve"> (NT). Ullticka är typisk art för </w:t>
      </w:r>
      <w:r>
        <w:rPr>
          <w:i/>
        </w:rPr>
        <w:t xml:space="preserve">9010 Taiga, 9050 Näringsrik granskog </w:t>
      </w:r>
      <w:r>
        <w:t xml:space="preserve">och </w:t>
      </w:r>
      <w:r>
        <w:rPr>
          <w:i/>
        </w:rPr>
        <w:t>9030 Landhöjningsskog</w:t>
      </w:r>
      <w:r>
        <w:t xml:space="preserve"> (SLU Artdatabanken, 2026; Nitare &amp; Skogsstyrelsen, 2019; Miettinen &amp; Niemelä, 2018).</w:t>
      </w:r>
    </w:p>
    <w:p>
      <w:r>
        <w:rPr>
          <w:b/>
        </w:rPr>
        <w:t>Vedskivlav (NT)</w:t>
      </w:r>
      <w:r>
        <w:t xml:space="preserve"> växer på gammal, torr, exponerad, hård kärnved av framförallt tall i naturskogsartade bestånd. Avverkning av tallskog av naturskogskaraktär med spår av återkommande bränder är ett hot. Mängden lämplig ved att växa på för vedskivlav minskar, dels på grund av naturlig nedbrytning men framförallt på grund av att de förstörs i samband med slutavverkningar, gallringar och markberedning. Tall- och blandbarrskogar av naturskogskaraktär med spår av återkommande bränder bör skyddas. Vedskivlav är typisk art för </w:t>
      </w:r>
      <w:r>
        <w:rPr>
          <w:i/>
        </w:rPr>
        <w:t>9010 Taiga</w:t>
      </w:r>
      <w:r>
        <w:t xml:space="preserve"> (SLU Artdatabanken, 2024).</w:t>
      </w:r>
    </w:p>
    <w:p>
      <w:r>
        <w:rPr>
          <w:b/>
        </w:rPr>
        <w:t xml:space="preserve">Vedtrappmossa (NT) </w:t>
      </w:r>
      <w:r>
        <w:t xml:space="preserve">växer på död ved, främst i gammal granskog. Den förekommer knappast alls i fjällnära barrskogar utan finns i skogslandskapet nedom fjällen och framför allt i landets södra delar är den en mycket bra signalart för barrnaturskog med höga naturvärden. Skogsavverkning och brist på grov död ved i skogen är de allvarligaste hoten och den överlever inte kalhyggesbruk. Lokaler med sluten granskog, tillräckligt stora för att säkerställa ett kontinuerligt tillskott på grova lågor, bör undantas från storskaligt skogsbruk. Vedtrappmossa är typisk art för </w:t>
      </w:r>
      <w:r>
        <w:rPr>
          <w:i/>
        </w:rPr>
        <w:t>9010 Taiga</w:t>
      </w:r>
      <w:r>
        <w:t xml:space="preserve"> (SLU Artdatabanken, 2024).</w:t>
      </w:r>
    </w:p>
    <w:p>
      <w:r>
        <w:rPr>
          <w:b/>
        </w:rPr>
        <w:t>Flagellkvastmossa</w:t>
      </w:r>
      <w:r>
        <w:t xml:space="preserve"> förekommer framför allt i tallsumpskog, men finns även i relativt torra gran- och tallskogar. Den signalerar överallt skogsmiljöer med höga naturvärden och indikerar biotoper med rik och kontinuerlig förekomst av död ved i olika nedbrytningsstadier eller barlagd torvjord. Flagellkvastmossa är typisk art för </w:t>
      </w:r>
      <w:r>
        <w:rPr>
          <w:i/>
        </w:rPr>
        <w:t xml:space="preserve">9010 Taiga </w:t>
      </w:r>
      <w:r>
        <w:t>och</w:t>
      </w:r>
      <w:r>
        <w:rPr>
          <w:i/>
        </w:rPr>
        <w:t xml:space="preserve"> 9740 Skogsbevuxen myr </w:t>
      </w:r>
      <w:r>
        <w:t>(SLU Artdatabanken, 2024; Nitare &amp; Skogsstyrelsen, 2019).</w:t>
      </w:r>
    </w:p>
    <w:p>
      <w:r>
        <w:rPr>
          <w:b/>
        </w:rPr>
        <w:t xml:space="preserve">Grönpyrola </w:t>
      </w:r>
      <w:r>
        <w:t xml:space="preserve">växer främst på sandig, torr eller frisk mark i äldre barrskog, ofta på isälvsmaterial såsom sand och grus. Den påträffas främst i äldre naturligt uppkomna barrskogar, exempelvis på tallmoar, i åssluttningar, dyner och rasbranter. Arten är känslig för skogsbruksmetoder såsom slutavverkning och markberedning. Grönpyrola är typisk art för </w:t>
      </w:r>
      <w:r>
        <w:rPr>
          <w:i/>
        </w:rPr>
        <w:t>9010 Taiga, 9060 Åsbarrskog</w:t>
      </w:r>
      <w:r>
        <w:t xml:space="preserve"> och</w:t>
      </w:r>
      <w:r>
        <w:rPr>
          <w:i/>
        </w:rPr>
        <w:t xml:space="preserve"> 1610 Åsöar i Östersjön </w:t>
      </w:r>
      <w:r>
        <w:t>(Nitare &amp; Skogsstyrelsen, 2019; SLU Artdatabanken, 2025).</w:t>
      </w:r>
    </w:p>
    <w:p>
      <w:r>
        <w:rPr>
          <w:b/>
        </w:rPr>
        <w:t>Sotlav</w:t>
      </w:r>
      <w:r>
        <w:t xml:space="preserve"> är överallt en mycket bra signalart och visar alltid på skogsmiljöer med höga naturvärden. Den indikerar långvarig förekomst av gamla eller döda träd. På lavens växtlokaler finns vanligen många andra ovanliga arter. Sotlav är typisk art för </w:t>
      </w:r>
      <w:r>
        <w:rPr>
          <w:i/>
        </w:rPr>
        <w:t xml:space="preserve">9010 Taiga </w:t>
      </w:r>
      <w:r>
        <w:t>och</w:t>
      </w:r>
      <w:r>
        <w:rPr>
          <w:i/>
        </w:rPr>
        <w:t xml:space="preserve"> 9070 Trädklädd betesmark</w:t>
      </w:r>
      <w:r>
        <w:t xml:space="preserve"> (Nitare &amp; Skogsstyrelsen, 2019; SLU Artdatabanken, 2025).</w:t>
      </w:r>
    </w:p>
    <w:p>
      <w:r>
        <w:rPr>
          <w:b/>
        </w:rPr>
        <w:t xml:space="preserve">Vedticka </w:t>
      </w:r>
      <w:r>
        <w:t xml:space="preserve">är en bra signalart söder om den naturliga norrlandsgränsen. Den är huvudsakligen knuten till äldre barrskogar där det föreligger långvarig kontinuitet av död barrved. Vedticka är typisk art för </w:t>
      </w:r>
      <w:r>
        <w:rPr>
          <w:i/>
        </w:rPr>
        <w:t xml:space="preserve">9010 Taiga </w:t>
      </w:r>
      <w:r>
        <w:t>(Nitare &amp; Skogsstyrelsen, 2019; SLU Artdatabanken, 2025).</w:t>
      </w:r>
    </w:p>
    <w:p>
      <w:pPr>
        <w:pStyle w:val="Heading1"/>
      </w:pPr>
      <w:r>
        <w:t>Typiska arter och EU:s art- och habitatdirektiv</w:t>
      </w:r>
    </w:p>
    <w:p>
      <w:r>
        <w:t>Typiska arter används för att lokalisera områden med gynnsam bevarandestatus för de naturtyper som är listade i EU:s art- och habitatdirektiv. Ett exempel är Västlig taiga (EU-kod 9010) som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w:t>
      </w:r>
    </w:p>
    <w:p>
      <w:r>
        <w:t>Följande typiska arter har sina livsmiljöer och växtplatser i den avverkningsanmälda skogen: garnlav (VU, T), raggbock (VU, T), kolflarnlav (NT, T), motaggsvamp (NT, T), rosenticka (NT, T), ullticka (NT, T), vedskivlav (NT, T), vedtrappmossa (NT, T), flagellkvastmossa (S, T), grönpyrola (S, T), sotlav (S, T) och vedticka (S, T).</w:t>
      </w:r>
    </w:p>
    <w:p>
      <w:r>
        <w:t>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r>
        <w:t>Trots detta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w:t>
      </w:r>
      <w:r>
        <w:rPr>
          <w:b/>
        </w:rPr>
        <w:t xml:space="preserve"> </w:t>
      </w:r>
      <w:r>
        <w:t>inte har gynnsam bevarandestatus.</w:t>
      </w:r>
    </w:p>
    <w:p>
      <w:r>
        <w:t>Åtgärder som vidtas i enlighet med art- och habitatdirektivet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w:t>
      </w:r>
    </w:p>
    <w:p>
      <w:r>
        <w:t>EU-direktiv är bindande för EU:s medlemsländer varvid det ankommer på Skogsstyrelsen som nationell tillsynsmyndighet att beakta syftet med EU:s art- och habitatdirektiv vid prövningen av en skogsbruksverksamhet, se Rådets direktiv 92/43/EEG. Se ytterligare information om EU:s livsmiljödirektiv i bilaga 2.</w:t>
      </w:r>
    </w:p>
    <w:p>
      <w:r>
        <w:br w:type="page"/>
      </w:r>
    </w:p>
    <w:p>
      <w:pPr>
        <w:pStyle w:val="Title"/>
      </w:pPr>
      <w:r>
        <w:t>BILAGA 1 – EU:s art- och habitatdirektiv, fågeldirektiv och naturrestaureringsförordning</w:t>
      </w:r>
    </w:p>
    <w:p>
      <w:pPr>
        <w:pStyle w:val="Heading2"/>
      </w:pPr>
      <w:r>
        <w:t>Förenlighet med EU-direktiv</w:t>
      </w:r>
    </w:p>
    <w:p>
      <w:r>
        <w:t>EU-direktiv är bindande för EU:s medlemsländer varvid det ankommer på Skogsstyrelsen som nationell tillsynsmyndighet att beakta syftet med EU:s art- och habitatdirektiv respektive fågeldirektiv vid prövningen av en skogsbruksverksamhet, se Rådets direktiv 92/43/EEG samt 2009/147/EG. Nationella regler som omfattas av ett EU-direktiv ska enligt fast rättspraxis tolkas i enlighet med direktivet, vilket medför en skyldighet för myndigheten att tolka bestämmelser i nationell rätt i ljuset av direktivets ordalydelse, sammanhang och de mål som eftersträvas med direktivet (se EU-domstolens dom i mål C 477/19).</w:t>
      </w:r>
    </w:p>
    <w:p>
      <w:r>
        <w:t>EU:s medlemsstater åläggs i Artikel 3 i fågeldirektivet generella skyldigheter avseende skydd, bevarande och återställande av tillräckligt stora och varierande livsmiljöer för de fågelarter som omfattas av direktivet. Medlemsstaterna ska vidta de åtgärder som är nödvändiga för att bibehålla populationen av fågelarterna på en nivå som svarar särskilt mot ekologiska, vetenskapliga och kulturella behov, eller återupprätta populationen av dessa arter till en sådan nivå (se Europaparlamentets och rådets direktiv 2009/147/EG).</w:t>
      </w:r>
    </w:p>
    <w:p>
      <w:r>
        <w:t>Åtgärder som vidtas i enlighet med art- och habitatdirektivet (92/43/EEG) ska enligt Artikel 2 syfta till att bibehålla eller återställa en gynnsam bevarandestatus hos livsmiljöer samt arter och vilda djur och växter av gemenskapsintresse. Enligt prejudikat från EU-domstolen ska en skogsbruksverksamhet utföras på ett sådant sätt som utgör ett förebyggande och hållbart skogsbruk för att betraktas som förenlig med bevarandekraven i direktivet (se EU-domstolens dom i de förenade målen C 473-19 och C 474-19).</w:t>
      </w:r>
    </w:p>
    <w:p>
      <w:r>
        <w:t xml:space="preserve">Av artikel 1.e samma direktiv framgår att en livsmiljös bevarandestatus anses " gynnsam" när — dess naturliga utbredningsområde och de ytor den täcker inom detta område är stabila eller ökande, och — den särskilda struktur och de särskilda funktioner som är nödvändiga för att den skall kunna bibehållas på lång sikt finns, och sannolikt kommer att finnas under en överskådlig framtid, och — bevarandestatusen hos dess </w:t>
      </w:r>
      <w:r>
        <w:rPr>
          <w:b/>
        </w:rPr>
        <w:t>typiska arter</w:t>
      </w:r>
      <w:r>
        <w:t xml:space="preserve"> är gynnsam enligt definitionen i artikel 1.i. Typiska arter används för att lokalisera områden med gynnsam bevarandestatus för de naturtyper som ingår i EU:s art- och habitatdirektiv.</w:t>
      </w:r>
    </w:p>
    <w:p>
      <w:r>
        <w:t>Västlig taiga (EU-kod 9010) saknar gynnsam bevarandestatus och minskar starkt som naturtyp i Sverige. Naturvårdsverket skriver i sin vägledning för västlig taiga att dylika miljöer förutsätter normalt att skogarna skyddas långsiktigt, eftersom skogsbruk inte är förenligt med bevarande av naturtypen i gynnsamt tillstånd (Naturvårdsverket, 2011). Enligt Sveriges Artikel 17 rapportering 2013 och 2019 till EU, har naturtypen Västlig taiga (9010) dålig bevarandestatus med negativ trend inom Sveriges boreala region. Skogsbruksåtgärder som avverkning, röjning och gallring pekas ut som några av de främst bidragande orsakerna till naturtypens dåliga status och negativa trend (SLU Artdatabanken, 2019). I EU:s uppföljning av tillståndet för naturtyperna i Skandinavien 2013 – 2018 framgår det att i den boreala regionen är tillståndet så dåligt för Västlig taiga (9010) att habitatet löper allvarlig risk att försvinna regionalt (EEA, 2022). Det allvarliga läget för den biologiska mångfalden i skogen framhålls även i Skogsstyren rapport 2026/07:</w:t>
      </w:r>
    </w:p>
    <w:p>
      <w:r>
        <w:rPr>
          <w:i/>
        </w:rPr>
        <w:t>"All avverkning av kända skogliga värdekärnor och sannolika kontinuitetsskogar behöver upphöra för att fylla bristen om 1,56 miljoner hektar bevarad livsmiljötyp. På grund av begränsade kvarvarande arealer av värdekärnor, naturskogar och kontinuitetsskogar leder fortsatt förlust av dessa till en påtaglig risk för långsiktigt negativa effekter för biologisk mångfald i skogslandskapet. Att de återstående arealerna bevaras och ges ett långsiktigt skydd bedöms därför vara av avgörande betydelse."</w:t>
      </w:r>
      <w:r>
        <w:t xml:space="preserve"> (Skogsstyrelsen, 2026).</w:t>
      </w:r>
    </w:p>
    <w:p>
      <w:pPr>
        <w:pStyle w:val="Caption"/>
      </w:pPr>
      <w:r>
        <w:drawing>
          <wp:inline xmlns:a="http://schemas.openxmlformats.org/drawingml/2006/main" xmlns:pic="http://schemas.openxmlformats.org/drawingml/2006/picture">
            <wp:extent cx="5486400" cy="2905862"/>
            <wp:docPr id="2" name="Picture 2"/>
            <wp:cNvGraphicFramePr>
              <a:graphicFrameLocks noChangeAspect="1"/>
            </wp:cNvGraphicFramePr>
            <a:graphic>
              <a:graphicData uri="http://schemas.openxmlformats.org/drawingml/2006/picture">
                <pic:pic>
                  <pic:nvPicPr>
                    <pic:cNvPr id="0" name="uppföljning av västlig taiga.jpeg"/>
                    <pic:cNvPicPr/>
                  </pic:nvPicPr>
                  <pic:blipFill>
                    <a:blip r:embed="rId17"/>
                    <a:stretch>
                      <a:fillRect/>
                    </a:stretch>
                  </pic:blipFill>
                  <pic:spPr>
                    <a:xfrm>
                      <a:off x="0" y="0"/>
                      <a:ext cx="5486400" cy="2905862"/>
                    </a:xfrm>
                    <a:prstGeom prst="rect"/>
                  </pic:spPr>
                </pic:pic>
              </a:graphicData>
            </a:graphic>
          </wp:inline>
        </w:drawing>
      </w:r>
    </w:p>
    <w:p>
      <w:pPr>
        <w:pStyle w:val="Caption"/>
      </w:pPr>
      <w:r>
        <w:t>EU:s uppföljning av tillståndet för naturtypen Västlig taiga 9010 i Skandinavien 2013 - 2018. Av kartan framgår det att i den boreala regionen är tillståndet så dåligt (röd färg) att habitatet löper allvarlig risk att försvinna regionalt. Källa: European Environment Agency. https:// eunis.eea.europoa.eu/habitats/10176.</w:t>
      </w:r>
    </w:p>
    <w:p>
      <w:r>
        <w:t>Trots det allvarliga läget har statusen för Västlig taiga ändrats till otillräcklig i stället för dålig i den senaste Artikel 17 rapporteringen 2025. Av Naturvårdsverkets rapport framgår det dock att de ändrade statusbedömningarna jämfört med rapporteringen 2019 inte beror på faktiska miljöförändringar. Ändringarna är av teknisk karaktär och främst en följd av resultaten från genomförda regeringsuppdrag och beslut inför rapporteringen 2025. Det är alltså politisk styrning i stället för faktiska förhållanden i naturen som ändrat på naturtypernas status i rapporteringen, vilket rimmar dåligt med såväl art- och habitatdirektivets syften och mål som med naturrestaureringsförordningen. I praktiken har dock Sveriges nya sätt att rapportera bevarandestatus till EU inte någon betydelse eftersom Naturvårdsverkets rapportering 2025 visar att Västlig taiga inte har gynnsam bevarandestatus.</w:t>
      </w:r>
    </w:p>
    <w:p>
      <w:pPr>
        <w:pStyle w:val="Heading2"/>
      </w:pPr>
      <w:r>
        <w:t>EU:s naturrestaureringsförordning</w:t>
      </w:r>
    </w:p>
    <w:p>
      <w:r>
        <w:t>Enligt EU:s naturrestaureringsförordning (EU 2024/1991) ska minst 20 % av landområden och minst 20 % av havsarealen vara restaurerad senast 2030, samt alla ekosystem som är i behov av restaurering senast 2050. Det framgår också av förordningen att det är viktigt att livsmiljötyperna inte försämras innan eller efter att restaureringar genomförts, se exempelvis punkt 37 förordningen.</w:t>
      </w:r>
    </w:p>
    <w:p>
      <w:r>
        <w:t>”</w:t>
      </w:r>
      <w:r>
        <w:rPr>
          <w:i/>
        </w:rPr>
        <w:t>Det är viktigt att medlemsstaterna vidtar åtgärder som syftar till att säkerställa att tillståndet för områden som täcks av livsmiljötyper som omfattas av denna förordning och som omfattas av restaureringsåtgärder uppvisar en kontinuerlig förbättring till dess att de uppnår ett gott tillstånd, och att medlemsstaterna vidtar åtgärder som syftar till att säkerställa att dessa livsmiljötyper, när de har uppnått ett gott tillstånd, inte försämras avsevärt, så att det långsiktiga bibehållandet eller uppnåendet av gott tillstånd inte äventyras. (..) Det är också viktigt att medlemsstaterna anstränger sig för att förhindra avsevärd försämring av områden som täcks av sådana livsmiljötyper som antingen redan är i gott skick eller som inte är i gott skick men ännu inte omfattas av restaureringsåtgärder.”</w:t>
      </w:r>
    </w:p>
    <w:p>
      <w:r>
        <w:rPr>
          <w:b/>
          <w:i/>
        </w:rPr>
        <w:t>Artikel 4(12):</w:t>
      </w:r>
    </w:p>
    <w:p>
      <w:r>
        <w:rPr>
          <w:i/>
        </w:rPr>
        <w:t>Utan att det påverkar tillämpningen av direktiv 92/43/EEG ska medlemsstaterna, senast den dag då deras nationella restaureringsplaner offentliggörs i enlighet med artikel 17.6 i denna förordning, eftersträva att genomföra de åtgärder som krävs för att förhindra avsevärd försämring av områden där de livsmiljötyper som förtecknas i bilaga I till denna förordning förekommer och som är i gott tillstånd eller som krävs för att uppnå de restaureringsmål som anges i punkt 17 i den här artikeln.</w:t>
      </w:r>
    </w:p>
    <w:p>
      <w:r>
        <w:rPr>
          <w:b/>
          <w:i/>
        </w:rPr>
        <w:t>Artikel 4 (17).   Medlemsstaterna ska säkerställa</w:t>
      </w:r>
    </w:p>
    <w:p>
      <w:r>
        <w:rPr>
          <w:i/>
        </w:rPr>
        <w:t>a) en ökning av arealen i gott tillstånd för de livsmiljötyper som förtecknas i bilaga I till dess att minst 90 % är i gott tillstånd och till dess att den gynnsamma referensarealen för varje livsmiljötyp i varje biogeografisk region inom den berörda medlemsstaten har uppnåtts.</w:t>
      </w:r>
    </w:p>
    <w:p>
      <w:r>
        <w:t>Referenser</w:t>
      </w:r>
    </w:p>
    <w:p>
      <w:r>
        <w:t xml:space="preserve">EEA European Environment Agency, 2022. </w:t>
      </w:r>
      <w:r>
        <w:rPr>
          <w:i/>
        </w:rPr>
        <w:t xml:space="preserve">Western taiga – Conservation status 2013-2018. </w:t>
      </w:r>
      <w:r>
        <w:t>https:// eunis.eea.europoa.eu/habitats/10176.</w:t>
      </w:r>
    </w:p>
    <w:p>
      <w:r>
        <w:t>EU-domstolens dom av den 2 juli 2020 i målet C 477/19 (Europeisk hamster) p. 23.</w:t>
      </w:r>
    </w:p>
    <w:p>
      <w:r>
        <w:t>EU-domstolens dom av den 4 mars 2021 i de förenade målen C 473-19 och C 474-19 (Skydda skogen) p. 70 och 76.</w:t>
      </w:r>
    </w:p>
    <w:p>
      <w:r>
        <w:t>Europaparlamentets och rådets direktiv 2009/147/EG av den 30 november 2009 om bevarande av vilda fåglar.</w:t>
      </w:r>
    </w:p>
    <w:p>
      <w:r>
        <w:t>EUROPAPARLAMENTETS OCH RÅDETS FÖRORDNING (EU) 2024/1991 av den 24 juni 2024 om restaurering av natur och om ändring av förordning (EU) 2022/869.</w:t>
      </w:r>
    </w:p>
    <w:p>
      <w:r>
        <w:t>Rådets direktiv 92/43/EEG av den 21 mj 1992 om bevarande av livsmiljöer samt vilda djur och växter.</w:t>
      </w:r>
    </w:p>
    <w:p>
      <w:r>
        <w:t xml:space="preserve">Skogsstyrelsen, 2026. </w:t>
      </w:r>
      <w:r>
        <w:rPr>
          <w:i/>
        </w:rPr>
        <w:t>Biologisk mångfald i skogen.</w:t>
      </w:r>
      <w:r>
        <w:t xml:space="preserve"> Rapport 2026/07.</w:t>
      </w:r>
    </w:p>
    <w:p>
      <w:r>
        <w:t xml:space="preserve">SLU Artdatabanken, 2019. </w:t>
      </w:r>
      <w:r>
        <w:rPr>
          <w:i/>
        </w:rPr>
        <w:t>Sveriges arter och naturtyper i EU:s art- och habitatdirektiv.</w:t>
      </w:r>
      <w:r>
        <w:t xml:space="preserve"> Resultat från rapportering 2019 till EU av bevarandestatus 2013-2018.</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2026-10-18</w:t>
      <w:br/>
      <w:br/>
    </w:r>
    <w:r>
      <w:t>Till: Skogsstyrelsen</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 Id="rId17" Type="http://schemas.openxmlformats.org/officeDocument/2006/relationships/image" Target="media/image2.jpe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