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13033-2026 i Sala kommun</w:t>
      </w:r>
    </w:p>
    <w:p>
      <w:r>
        <w:t>Detta klagomål behandlar höga naturvärden i avverkningsanmälan A 13033-2026 i Sala kommun som inkom 2026-03-11 och omfattar 11,7 ha.</w:t>
      </w:r>
    </w:p>
    <w:p>
      <w:pPr>
        <w:pStyle w:val="Caption"/>
      </w:pPr>
      <w:r>
        <w:drawing>
          <wp:inline xmlns:a="http://schemas.openxmlformats.org/drawingml/2006/main" xmlns:pic="http://schemas.openxmlformats.org/drawingml/2006/picture">
            <wp:extent cx="5486400" cy="3568988"/>
            <wp:docPr id="1" name="Picture 1"/>
            <wp:cNvGraphicFramePr>
              <a:graphicFrameLocks noChangeAspect="1"/>
            </wp:cNvGraphicFramePr>
            <a:graphic>
              <a:graphicData uri="http://schemas.openxmlformats.org/drawingml/2006/picture">
                <pic:pic>
                  <pic:nvPicPr>
                    <pic:cNvPr id="0" name="A 13033-2026 karta.png"/>
                    <pic:cNvPicPr/>
                  </pic:nvPicPr>
                  <pic:blipFill>
                    <a:blip r:embed="rId16"/>
                    <a:stretch>
                      <a:fillRect/>
                    </a:stretch>
                  </pic:blipFill>
                  <pic:spPr>
                    <a:xfrm>
                      <a:off x="0" y="0"/>
                      <a:ext cx="5486400" cy="356898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6668593, E 592031 i SWEREF 99 TM.</w:t>
      </w:r>
    </w:p>
    <w:p>
      <w:r>
        <w:t>I och inom 25 meter från avverkningsanmälan finns fynd av 28 naturvårdsarter, varav 14 är rödlistade, 4 är fridlysta, 14 är typiska (T) och 9 är signalarter (S): ask (EN), garnlav (VU, T), gräddticka (VU), knärot (VU, T, §8), mörk kådsvartspik (VU), ulltickeporing (VU), barrpraktbagge (NT), brunpudrad nållav (NT, T), dropptaggsvamp (NT, T), granvivel (NT), kortskaftad ärgspik (NT), rosenticka (NT, T), talltagel (NT, T), ullticka (NT, T), bronshjon (S, T), jättesvampmal (S), kamjordstjärna (S), noshornsoxe (S), thomsons trägnagare (S), tibast (S, T), vedticka (S, T), vågbandad barkbock (S), åttafläckig praktbagge (S, T), glansfläck (T), krushättemossa (T), tjäder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2720576"/>
            <wp:docPr id="2" name="Picture 2"/>
            <wp:cNvGraphicFramePr>
              <a:graphicFrameLocks noChangeAspect="1"/>
            </wp:cNvGraphicFramePr>
            <a:graphic>
              <a:graphicData uri="http://schemas.openxmlformats.org/drawingml/2006/picture">
                <pic:pic>
                  <pic:nvPicPr>
                    <pic:cNvPr id="0" name="A 13033-2026 karta knärot.png"/>
                    <pic:cNvPicPr/>
                  </pic:nvPicPr>
                  <pic:blipFill>
                    <a:blip r:embed="rId17"/>
                    <a:stretch>
                      <a:fillRect/>
                    </a:stretch>
                  </pic:blipFill>
                  <pic:spPr>
                    <a:xfrm>
                      <a:off x="0" y="0"/>
                      <a:ext cx="5486400" cy="27205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6668593, E 592031 i SWEREF 99 TM.</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Åttafläckig praktbagge</w:t>
      </w:r>
      <w:r>
        <w:t xml:space="preserve"> är en skalbagge vars larvutveckling sker i solexponerad död ved av tall, undantagsvis gran. Ofta i döda veddelar i levande träd, t.ex. ytliga rötter med blottad ved, även i klena stammar eller grova grenar på marken. De platta larvgångarna är packade med gnagmjöl, och det plattovala flyghålet är ungefär 5 mm i diameter. Åttafläckig praktbagge är typisk art för </w:t>
      </w:r>
      <w:r>
        <w:rPr>
          <w:i/>
        </w:rPr>
        <w:t xml:space="preserve">9010 Taiga </w:t>
      </w:r>
      <w:r>
        <w:t>(SLU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