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13033-2026 i Sala kommun</w:t>
      </w:r>
    </w:p>
    <w:p>
      <w:r>
        <w:t>Denna tillsynsbegäran behandlar höga naturvärden i avverkningsanmälan A 13033-2026 i Sala kommun som inkom 2026-03-11 och omfattar 11,7 ha.</w:t>
      </w:r>
    </w:p>
    <w:p>
      <w:pPr>
        <w:pStyle w:val="Caption"/>
      </w:pPr>
      <w:r>
        <w:drawing>
          <wp:inline xmlns:a="http://schemas.openxmlformats.org/drawingml/2006/main" xmlns:pic="http://schemas.openxmlformats.org/drawingml/2006/picture">
            <wp:extent cx="5486400" cy="3568988"/>
            <wp:docPr id="1" name="Picture 1"/>
            <wp:cNvGraphicFramePr>
              <a:graphicFrameLocks noChangeAspect="1"/>
            </wp:cNvGraphicFramePr>
            <a:graphic>
              <a:graphicData uri="http://schemas.openxmlformats.org/drawingml/2006/picture">
                <pic:pic>
                  <pic:nvPicPr>
                    <pic:cNvPr id="0" name="A 13033-2026 karta.png"/>
                    <pic:cNvPicPr/>
                  </pic:nvPicPr>
                  <pic:blipFill>
                    <a:blip r:embed="rId16"/>
                    <a:stretch>
                      <a:fillRect/>
                    </a:stretch>
                  </pic:blipFill>
                  <pic:spPr>
                    <a:xfrm>
                      <a:off x="0" y="0"/>
                      <a:ext cx="5486400" cy="356898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6668593, E 592031 i SWEREF 99 TM.</w:t>
      </w:r>
    </w:p>
    <w:p>
      <w:r>
        <w:t>I och inom 25 meter från avverkningsanmälan finns fynd av 28 naturvårdsarter, varav 14 är rödlistade, 4 är fridlysta, 14 är typiska (T) och 9 är signalarter (S): ask (EN), garnlav (VU, T), gräddticka (VU), knärot (VU, T, §8), mörk kådsvartspik (VU), ulltickeporing (VU), barrpraktbagge (NT), brunpudrad nållav (NT, T), dropptaggsvamp (NT, T), granvivel (NT), kortskaftad ärgspik (NT), rosenticka (NT, T), talltagel (NT, T), ullticka (NT, T), bronshjon (S, T), jättesvampmal (S), kamjordstjärna (S), noshornsoxe (S), thomsons trägnagare (S), tibast (S, T), vedticka (S, T), vågbandad barkbock (S), åttafläckig praktbagge (S, T), glansfläck (T), krushättemossa (T), tjäder (T, §4), orre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Gräddticka (VU)</w:t>
      </w:r>
      <w:r>
        <w:t xml:space="preserve"> har klassificerats som en ”gammelskogsindikator” och signalerar granskogar med höga naturvärden. Den kräver miljöer med hög och jämn fuktighet och växtplatserna ligger oftast på näringsrik, fuktig eller blöt mark där lågan och den murkna veden hålls konstant fuktig. Slutavverkning av gammelgranskog är ett direkt hot mot artens existens i landet och artens växtplatser måste undantas från skogsbruk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0.15 ha med buffertzonerna och får av detta skäl inte avverkas.</w:t>
      </w:r>
    </w:p>
    <w:p>
      <w:pPr>
        <w:pStyle w:val="Caption"/>
      </w:pPr>
      <w:r>
        <w:drawing>
          <wp:inline xmlns:a="http://schemas.openxmlformats.org/drawingml/2006/main" xmlns:pic="http://schemas.openxmlformats.org/drawingml/2006/picture">
            <wp:extent cx="5486400" cy="2720576"/>
            <wp:docPr id="2" name="Picture 2"/>
            <wp:cNvGraphicFramePr>
              <a:graphicFrameLocks noChangeAspect="1"/>
            </wp:cNvGraphicFramePr>
            <a:graphic>
              <a:graphicData uri="http://schemas.openxmlformats.org/drawingml/2006/picture">
                <pic:pic>
                  <pic:nvPicPr>
                    <pic:cNvPr id="0" name="A 13033-2026 karta knärot.png"/>
                    <pic:cNvPicPr/>
                  </pic:nvPicPr>
                  <pic:blipFill>
                    <a:blip r:embed="rId17"/>
                    <a:stretch>
                      <a:fillRect/>
                    </a:stretch>
                  </pic:blipFill>
                  <pic:spPr>
                    <a:xfrm>
                      <a:off x="0" y="0"/>
                      <a:ext cx="5486400" cy="272057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6668593, E 592031 i SWEREF 99 TM.</w:t>
      </w:r>
    </w:p>
    <w:p>
      <w:r>
        <w:rPr>
          <w:b/>
        </w:rPr>
        <w:t xml:space="preserve">Mörk kådsvartspik (VU) </w:t>
      </w:r>
      <w:r>
        <w:t>växer på gammal grankåda i halvöppna barrskogar av naturskogskaraktär med hög och jämn luftfuktighet. Skogsbruksåtgärder som kan påverka markvattennivån och luftfuktigheten negativt på växtplatserna utgör hot. Nybildning av för arten lämpliga substrat i produktionsskogar är sannolikt mycket begränsad och på lång sikt utgör avverkningar av variationsrika och olikåldriga naturskogar med hög och jämn luftfuktighet ett allvarligt hot. Då populationen på varje lokal är liten innebär det en risk för att arten ska försvinna från en enskild lokal p.g.a. slumpfaktorer. Lokaler med mörk kådsvartspik bör undantas från skogsbruksåtgärder (SLU Artdatabanken, 2026).</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Barrpraktbagge (NT)</w:t>
      </w:r>
      <w:r>
        <w:t xml:space="preserve"> är en skalbagge vars larvutveckling sker under bark på nyligen döda, solexponerade stammar av barrträd, i Sverige gran och tall. Arten missgynnas av bristen på solbelyst, färsk barrträdsved i skogslandskapet. Områden där stormfällningar eller skogsbrand skett, bör lämnas orörda utan uttag av virke, exempelvis genom naturvårdsavtal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Åttafläckig praktbagge</w:t>
      </w:r>
      <w:r>
        <w:t xml:space="preserve"> är en skalbagge vars larvutveckling sker i solexponerad död ved av tall, undantagsvis gran. Ofta i döda veddelar i levande träd, t.ex. ytliga rötter med blottad ved, även i klena stammar eller grova grenar på marken. De platta larvgångarna är packade med gnagmjöl, och det plattovala flyghålet är ungefär 5 mm i diameter. Åttafläckig praktbagge är typisk art för </w:t>
      </w:r>
      <w:r>
        <w:rPr>
          <w:i/>
        </w:rPr>
        <w:t xml:space="preserve">9010 Taiga </w:t>
      </w:r>
      <w:r>
        <w:t>(SLU Artdatabanken, 2025).</w:t>
      </w:r>
    </w:p>
    <w:p>
      <w:r>
        <w:rPr>
          <w:b/>
        </w:rPr>
        <w:t>Glansfläck</w:t>
      </w:r>
      <w:r>
        <w:t xml:space="preserve"> signalerar skyddsvärda lövträdsbestånd som ofta hyser ett flertal rödlistade lavar. Många växtplatser har långvarig trädkontinuitet. Laven indikerar främst miljöer med konstant hög och jämn luftfuktighet och ostörda markvattenförhållanden. Glansfläck är typisk art för </w:t>
      </w:r>
      <w:r>
        <w:rPr>
          <w:i/>
        </w:rPr>
        <w:t>9190 Näringsfattig ekskog</w:t>
      </w:r>
      <w:r>
        <w:t xml:space="preserve"> (Nitare &amp; Skogsstyrelsen, 2000;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brunpudrad nållav (NT, T), dropptaggsvamp (NT, T), rosenticka (NT, T), talltagel (NT, T), ullticka (NT, T), bronshjon (S, T), tibast (S, T), vedticka (S, T), åttafläckig praktbagge (S, T), glansfläck (T), krushättemossa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