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3631-2024 i Sala kommun</w:t>
      </w:r>
    </w:p>
    <w:p>
      <w:r>
        <w:t>Denna tillsynsbegäran behandlar höga naturvärden i samrådsanmälan S 3631-2024 i Sala kommun som inkom 2024-09-13 och omfattar 129,8 ha.</w:t>
      </w:r>
    </w:p>
    <w:p>
      <w:pPr>
        <w:pStyle w:val="Caption"/>
      </w:pPr>
      <w:r>
        <w:drawing>
          <wp:inline xmlns:a="http://schemas.openxmlformats.org/drawingml/2006/main" xmlns:pic="http://schemas.openxmlformats.org/drawingml/2006/picture">
            <wp:extent cx="5486400" cy="5165889"/>
            <wp:docPr id="1" name="Picture 1"/>
            <wp:cNvGraphicFramePr>
              <a:graphicFrameLocks noChangeAspect="1"/>
            </wp:cNvGraphicFramePr>
            <a:graphic>
              <a:graphicData uri="http://schemas.openxmlformats.org/drawingml/2006/picture">
                <pic:pic>
                  <pic:nvPicPr>
                    <pic:cNvPr id="0" name="S 3631-2024 karta.png"/>
                    <pic:cNvPicPr/>
                  </pic:nvPicPr>
                  <pic:blipFill>
                    <a:blip r:embed="rId16"/>
                    <a:stretch>
                      <a:fillRect/>
                    </a:stretch>
                  </pic:blipFill>
                  <pic:spPr>
                    <a:xfrm>
                      <a:off x="0" y="0"/>
                      <a:ext cx="5486400" cy="5165889"/>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6630122, E 570971 i SWEREF 99 TM.</w:t>
      </w:r>
    </w:p>
    <w:p>
      <w:r>
        <w:t>I och inom 20 meter från samrådsanmälan finns fynd av 10 naturvårdsarter, varav 2 är rödlistade, 4 är fridlysta, 7 är typiska (T) och 5 är signalarter (S): väddnätfjäril (VU, §6), gullpudra (NT, T), bågpraktmossa (S, T), guldlockmossa (S, T), klippfrullania (S, T), platt fjädermossa (S, T), vanlig rörsvepemossa (S, T), blåsippa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gullpudra (NT, T), bågpraktmossa (S, T), guldlockmossa (S, T), klippfrullania (S, T), platt fjädermossa (S, T), vanlig rörsvepemossa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