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43068-2024 i Sala kommun</w:t>
      </w:r>
    </w:p>
    <w:p>
      <w:r>
        <w:t>Detta klagomål behandlar höga naturvärden i avverkningsanmälan A 43068-2024 i Sala kommun som inkom 2024-10-02 och omfattar 1,1 ha.</w:t>
      </w:r>
    </w:p>
    <w:p>
      <w:pPr>
        <w:pStyle w:val="Caption"/>
      </w:pPr>
      <w:r>
        <w:drawing>
          <wp:inline xmlns:a="http://schemas.openxmlformats.org/drawingml/2006/main" xmlns:pic="http://schemas.openxmlformats.org/drawingml/2006/picture">
            <wp:extent cx="5486400" cy="5542961"/>
            <wp:docPr id="1" name="Picture 1"/>
            <wp:cNvGraphicFramePr>
              <a:graphicFrameLocks noChangeAspect="1"/>
            </wp:cNvGraphicFramePr>
            <a:graphic>
              <a:graphicData uri="http://schemas.openxmlformats.org/drawingml/2006/picture">
                <pic:pic>
                  <pic:nvPicPr>
                    <pic:cNvPr id="0" name="A 43068-2024 karta.png"/>
                    <pic:cNvPicPr/>
                  </pic:nvPicPr>
                  <pic:blipFill>
                    <a:blip r:embed="rId16"/>
                    <a:stretch>
                      <a:fillRect/>
                    </a:stretch>
                  </pic:blipFill>
                  <pic:spPr>
                    <a:xfrm>
                      <a:off x="0" y="0"/>
                      <a:ext cx="5486400" cy="554296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6653279, E 579643 i SWEREF 99 TM.</w:t>
      </w:r>
    </w:p>
    <w:p>
      <w:r>
        <w:t>I och inom 3 meter från avverkningsanmälan finns fynd av 2 naturvårdsarter, varav 1 är rödlistad, 1 är typisk (T) och 1 är signalart (S): skorpgelélav (NT)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Skorpgelélav (NT) </w:t>
      </w:r>
      <w:r>
        <w:t>är spridd men sällsynt över stora delar av landet. Växer på gamla lövträd och kräver, åtminstone periodvis, hög luftfuktighet. Oftast står lövträden inne i gammal barrskog. I sydvästra Sverige växer den även på vårdträd i områden med hög luftfuktighet. De största kvarvarande populationerna finns sannolikt i fjällnära skog. I södra Sverige hotas laven av att gamla trädbestånd i parker och kyrkogårdar avverkas. I norra Sverige är det största hotet avverkning av asp och sälg. I ett landskapsperspektiv kan ett rikt asp- och sälginslag i barrskog, liksom den fauna och flora som förekommer i denna miljö, enbart säkerställas genom bränder eller brandliknande åtgärder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