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12276-2023 i Sala kommun</w:t>
      </w:r>
    </w:p>
    <w:p>
      <w:r>
        <w:t>Denna tillsynsbegäran behandlar höga naturvärden i avverkningsanmälan A 12276-2023 i Sala kommun som inkom 2023-03-10 och omfattar 28,6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A 12276-2023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6635077, E 572483 i SWEREF 99 TM.</w:t>
      </w:r>
    </w:p>
    <w:p>
      <w:r>
        <w:t>I och inom 8 meter från avverkningsanmälan finns fynd av 42 naturvårdsarter, varav 23 är rödlistade, 7 är fridlysta, 17 är typiska (T) och 15 är signalarter (S): gaffelskinn (VU), gränsticka (VU, T), knärot (VU, T, §8), laxgröppa (VU), laxporing (VU), smal skuggbagge (VU), ulltickeporing (VU), gransotdyna (NT), granvivel (NT), mindre hackspett (NT, T, §4), motaggsvamp (NT, T), orange taggsvamp (NT, T), rynkskinn (NT, T), skarp dropptaggsvamp (NT), sotvaxskivling (NT), svartvit taggsvamp (NT), såpfingersvamp (NT), tallbarksvartbagge (NT), tallticka (NT, T), talltita (NT, §4), ullticka (NT, T), vedtrappmossa (NT, T), vågticka (NT), björksplintborre (S), brandticka (S), bronshjon (S, T), gulgrön kantmusseron (S), gullgröppa (S), ljus vedstrit (S), mindre märgborre (S, T), platt fjädermossa (S, T), rökmusseron (S), sotriska (S), thomsons trägnagare (S), Thymalus limbatus (S), vanlig flatbagge (S, T), vedticka (S, T), vågbandad barkbock (S), hårklomossa (T, §8), spillkråka (T, §4), tjäder (T, §4)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Gaffelskinn (VU)</w:t>
      </w:r>
      <w:r>
        <w:t xml:space="preserve"> är en nedbrytare i grova och starkt nedbrutna lågor eller stubbar av gran. Den anträffas främst i äldre, naturskogsliknande granskog, ofta i det som man ibland kallar bondeskogar, dvs skogar som har utnyttjats extensivt med plockhuggning och bete som främsta påverkansfaktorer. Arten hotas av slutavverkning av äldre barrskog samt av att det endast sker en begränsad nybildningen av grova granlågor i uppväxande generationer av kulturskog. I Götaland bör fler äldre bondskogar samt mindre bestånd med äldre skog av nyckelbiotopskaraktär undantas från skogsbruk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68 fyndplatser för knärot registrerade på Artportalen. Figur 2 visar gränserna för buffertzoner på 50 m, som behöver lämnas kring fyndplatserna för att knärotslokalerna inte ska försvinna vid en avverkning. Av det avverkningsanmälda området överlappar 14.22 ha med buffertzonerna och får av detta skäl inte avverkas.</w:t>
      </w:r>
    </w:p>
    <w:p>
      <w:pPr>
        <w:pStyle w:val="Caption"/>
      </w:pPr>
      <w:r>
        <w:drawing>
          <wp:inline xmlns:a="http://schemas.openxmlformats.org/drawingml/2006/main" xmlns:pic="http://schemas.openxmlformats.org/drawingml/2006/picture">
            <wp:extent cx="5486400" cy="4506012"/>
            <wp:docPr id="2" name="Picture 2"/>
            <wp:cNvGraphicFramePr>
              <a:graphicFrameLocks noChangeAspect="1"/>
            </wp:cNvGraphicFramePr>
            <a:graphic>
              <a:graphicData uri="http://schemas.openxmlformats.org/drawingml/2006/picture">
                <pic:pic>
                  <pic:nvPicPr>
                    <pic:cNvPr id="0" name="A 12276-2023 karta knärot.png"/>
                    <pic:cNvPicPr/>
                  </pic:nvPicPr>
                  <pic:blipFill>
                    <a:blip r:embed="rId17"/>
                    <a:stretch>
                      <a:fillRect/>
                    </a:stretch>
                  </pic:blipFill>
                  <pic:spPr>
                    <a:xfrm>
                      <a:off x="0" y="0"/>
                      <a:ext cx="5486400" cy="4506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6635077, E 572483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Smal skuggbagge (VU)</w:t>
      </w:r>
      <w:r>
        <w:t xml:space="preserve"> omfattas av EU:s art- och habitatdirektiv där dess bevarandestatus är dålig med negativ trend. Larvutvecklingen sker under bark på nyligen döda träd, främst stående döda tallar som varit döda 3–6 år och angripna av blånadssvampen </w:t>
      </w:r>
      <w:r>
        <w:rPr>
          <w:i/>
        </w:rPr>
        <w:t>Ophiostoma pini</w:t>
      </w:r>
      <w:r>
        <w:t>. Arten är nästan uteslutande funnen i gamla skogsbestånd med höga naturvärden, och har förmodligen mycket svårt att klara modernt skogsbruk. Förvaltningsarbetet bör fokusera på återställandet av tillräcklig mängd död ved av tillräckligt hög kvalitet, särskilt viktigt är det med permanent och kontinuerlig tillgång på döda stående träd av tall med stor diameter och kvarsittande bark. Dessa villkor kan troligen endast uppnås under strikt skydd. Arten är rödlistad som sårbar (VU) på den europeiska rödlistan och omfattas av ett åtgärdsprogram för hotade arter (ÅGP) (SLU Artdatabanken, 2024; Zinko &amp; Vernerback 2018; Pettersson, 2014; Gutowski m.fl. 2014; IUCN, 2010).</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Tallbarksvartbagge (NT) </w:t>
      </w:r>
      <w:r>
        <w:t>är en skalbagge vars larvutveckling sker i gångsystemen av olika barkborrar på barrträd. De nutida fynden är främst gjorda på tall hos mindre märgborre, skarptandad barkborre och tolvtandad barkborre. Tallbarksvartbagge ingår i ett åtgärdsprogram för hotade arter (ÅGP) och är rödlistad som sårbar (VU) på den europeiska rödlistan vilket innebär att Sverige har ett internationellt ansvar för arten (SLU Artdatabanken, 2026; IUCN, 2016; Pettersson,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mindre hackspett (NT, T, §4), motaggsvamp (NT, T), orange taggsvamp (NT, T), rynkskinn (NT, T), tallticka (NT, T), ullticka (NT, T), vedtrappmossa (NT, T), bronshjon (S, T), mindre märgborre (S, T), platt fjädermossa (S, T), vanlig flatbagge (S, T), vedticka (S, T), hårklomossa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