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26370-2026 i Sala kommun</w:t>
      </w:r>
    </w:p>
    <w:p>
      <w:r>
        <w:t>Denna tillsynsbegäran behandlar höga naturvärden i avverkningsanmälan A 26370-2026 i Sala kommun som inkom 2026-06-09 och omfattar 1,7 ha.</w:t>
      </w:r>
    </w:p>
    <w:p>
      <w:pPr>
        <w:pStyle w:val="Caption"/>
      </w:pPr>
      <w:r>
        <w:drawing>
          <wp:inline xmlns:a="http://schemas.openxmlformats.org/drawingml/2006/main" xmlns:pic="http://schemas.openxmlformats.org/drawingml/2006/picture">
            <wp:extent cx="5486400" cy="5033913"/>
            <wp:docPr id="1" name="Picture 1"/>
            <wp:cNvGraphicFramePr>
              <a:graphicFrameLocks noChangeAspect="1"/>
            </wp:cNvGraphicFramePr>
            <a:graphic>
              <a:graphicData uri="http://schemas.openxmlformats.org/drawingml/2006/picture">
                <pic:pic>
                  <pic:nvPicPr>
                    <pic:cNvPr id="0" name="A 26370-2026 karta.png"/>
                    <pic:cNvPicPr/>
                  </pic:nvPicPr>
                  <pic:blipFill>
                    <a:blip r:embed="rId16"/>
                    <a:stretch>
                      <a:fillRect/>
                    </a:stretch>
                  </pic:blipFill>
                  <pic:spPr>
                    <a:xfrm>
                      <a:off x="0" y="0"/>
                      <a:ext cx="5486400" cy="503391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6669661, E 592076 i SWEREF 99 TM.</w:t>
      </w:r>
    </w:p>
    <w:p>
      <w:r>
        <w:t>I och inom 16 meter från avverkningsanmälan finns fynd av 10 naturvårdsarter, varav 7 är rödlistade, 1 är fridlyst, 7 är typiska (T) och 2 är signalarter (S): garnlav (VU, T), gul taggsvamp (VU, T), porslinsblå spindling (VU, T), dropptaggsvamp (NT, T), gultoppig fingersvamp (NT), orange taggsvamp (NT, T), skarp dropptaggsvamp (NT), flagellkvastmossa (S, T), olivspindling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gul taggsvamp (VU, T), porslinsblå spindling (VU, T), dropptaggsvamp (NT, T), orange taggsvamp (NT, T), flagellkvastmossa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