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47475-2024 i Sala kommun</w:t>
      </w:r>
    </w:p>
    <w:p>
      <w:r>
        <w:t>Detta klagomål behandlar höga naturvärden i avverkningsanmälan A 47475-2024 i Sala kommun som inkom 2024-10-22 och omfattar 1,4 ha.</w:t>
      </w:r>
    </w:p>
    <w:p>
      <w:pPr>
        <w:pStyle w:val="Caption"/>
      </w:pPr>
      <w:r>
        <w:drawing>
          <wp:inline xmlns:a="http://schemas.openxmlformats.org/drawingml/2006/main" xmlns:pic="http://schemas.openxmlformats.org/drawingml/2006/picture">
            <wp:extent cx="5486400" cy="4379693"/>
            <wp:docPr id="1" name="Picture 1"/>
            <wp:cNvGraphicFramePr>
              <a:graphicFrameLocks noChangeAspect="1"/>
            </wp:cNvGraphicFramePr>
            <a:graphic>
              <a:graphicData uri="http://schemas.openxmlformats.org/drawingml/2006/picture">
                <pic:pic>
                  <pic:nvPicPr>
                    <pic:cNvPr id="0" name="A 47475-2024 karta.png"/>
                    <pic:cNvPicPr/>
                  </pic:nvPicPr>
                  <pic:blipFill>
                    <a:blip r:embed="rId16"/>
                    <a:stretch>
                      <a:fillRect/>
                    </a:stretch>
                  </pic:blipFill>
                  <pic:spPr>
                    <a:xfrm>
                      <a:off x="0" y="0"/>
                      <a:ext cx="5486400" cy="4379693"/>
                    </a:xfrm>
                    <a:prstGeom prst="rect"/>
                  </pic:spPr>
                </pic:pic>
              </a:graphicData>
            </a:graphic>
          </wp:inline>
        </w:drawing>
      </w:r>
    </w:p>
    <w:p>
      <w:pPr>
        <w:pStyle w:val="Caption"/>
        <w:spacing w:after="240"/>
      </w:pPr>
      <w:r>
        <w:t>Figur 1. Fyndplatser för naturvårdsarter i och inom 25 meter från avverkningsanmälan. Markörer utan svart kant är placerade på fyndplatsen. Markörer med svart kant är placerade vid sidan av fyndplatsen och har ett svart streck som visar fyndplatsens exakta position. Kartans mittpunktskoordinat är N 6653076, E 577408 i SWEREF 99 TM.</w:t>
      </w:r>
    </w:p>
    <w:p>
      <w:r>
        <w:t>I och inom 25 meter från avverkningsanmälan finns fynd av 7 naturvårdsarter, varav 4 är rödlistade, 3 är fridlysta, 3 är typiska (T) och 1 är signalart (S): knärot (VU, T, §8), luddig stiftdynlav (VU), rynkskinn (NT, T), ullticka (NT, T), svavelriska (S), fläcknycklar (§8) och revlummer (§9).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Ytterligare en studie visar på den starka korrelationen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4 fyndplatser för knärot registrerade på Artportalen. Figur 2 visar gränserna för buffertzoner på 50 m, som behöver lämnas kring fyndplatserna för att knärotslokalerna inte ska försvinna vid en avverkning. Av det avverkningsanmälda området överlappar 0.95 ha med buffertzonerna och får av detta skäl inte avverkas.</w:t>
      </w:r>
    </w:p>
    <w:p>
      <w:pPr>
        <w:pStyle w:val="Caption"/>
      </w:pPr>
      <w:r>
        <w:drawing>
          <wp:inline xmlns:a="http://schemas.openxmlformats.org/drawingml/2006/main" xmlns:pic="http://schemas.openxmlformats.org/drawingml/2006/picture">
            <wp:extent cx="5486400" cy="4260915"/>
            <wp:docPr id="2" name="Picture 2"/>
            <wp:cNvGraphicFramePr>
              <a:graphicFrameLocks noChangeAspect="1"/>
            </wp:cNvGraphicFramePr>
            <a:graphic>
              <a:graphicData uri="http://schemas.openxmlformats.org/drawingml/2006/picture">
                <pic:pic>
                  <pic:nvPicPr>
                    <pic:cNvPr id="0" name="A 47475-2024 karta knärot.png"/>
                    <pic:cNvPicPr/>
                  </pic:nvPicPr>
                  <pic:blipFill>
                    <a:blip r:embed="rId17"/>
                    <a:stretch>
                      <a:fillRect/>
                    </a:stretch>
                  </pic:blipFill>
                  <pic:spPr>
                    <a:xfrm>
                      <a:off x="0" y="0"/>
                      <a:ext cx="5486400" cy="4260915"/>
                    </a:xfrm>
                    <a:prstGeom prst="rect"/>
                  </pic:spPr>
                </pic:pic>
              </a:graphicData>
            </a:graphic>
          </wp:inline>
        </w:drawing>
      </w:r>
    </w:p>
    <w:p>
      <w:pPr>
        <w:pStyle w:val="Caption"/>
        <w:spacing w:after="240"/>
      </w:pPr>
      <w:r>
        <w:t>Figur 2. Fyndplatser och buffertzoner för knärot i det avverkningsanmälda området. Endast fyndplatser vars buffertzoner överlappar med det avverkningsanmälda området har tagits med i visualiseringen. Kartans mittpunktskoordinat är N 6653076, E 577408 i SWEREF 99 TM.</w:t>
      </w:r>
    </w:p>
    <w:p>
      <w:r>
        <w:rPr>
          <w:b/>
        </w:rPr>
        <w:t>Luddig stiftdynlav (VU)</w:t>
      </w:r>
      <w:r>
        <w:t xml:space="preserve"> växer på granstubbar i gamla mer eller mindre rena brandrefugiala boreala granskogar med hög luftfuktighet. Arealminskningen av bördiga gamla granskogar är kraftig och detta måste ha gjort att även luddig stiftdynlav har gått tillbaka. Slutavverkningar på växtplatserna eller i dess närhet hotar arten, sannolikt på grund av förändringar till ett torrare mikroklimat. Alla lokaler för luddig stiftdynlav måste bevaras (SLU Artdatabanken, 2024).</w:t>
      </w:r>
    </w:p>
    <w:p>
      <w:r>
        <w:rPr>
          <w:b/>
        </w:rPr>
        <w:t>Rynkskinn (NT)</w:t>
      </w:r>
      <w:r>
        <w:t xml:space="preserve"> är en vednedbrytare som växer på grova granlågor och ingår i en karaktäristisk association av vedsvampar knutna till urskogsartade barrskogar. Den har klassificerats som en “urskogsindikator” och är placerad i toppen av Skogsstyrelsens värdepyramid för bedömning av skog med höga naturvärden. Allt tyder på att rynkskinn är mycket känslig för skogliga ingrepp och lokalerna, som oftast har höga biologiska kvaliteter, bör lämnas till fri utveckling. Rynkskinn är typisk art för </w:t>
      </w:r>
      <w:r>
        <w:rPr>
          <w:i/>
        </w:rPr>
        <w:t xml:space="preserve">9010 Taiga, 9050 Näringsrik granskog </w:t>
      </w:r>
      <w:r>
        <w:t>och</w:t>
      </w:r>
      <w:r>
        <w:rPr>
          <w:i/>
        </w:rPr>
        <w:t xml:space="preserve"> 9030 Landhöjningsskog</w:t>
      </w:r>
      <w:r>
        <w:t xml:space="preserve"> (Nitare &amp; Skogsstyrelsen, 2019; SLU Artdatabanken, 2026).</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7 naturvårdsarter varav 4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 Detta stöds även av en studie (Johansson et al, 2026) baserad på data från Riksskogstaxeringen som visar att knäroten minskat med 66 % under perioden 1993–2022 samt att det finns en stark korrelation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Ytterligare en studie (Koelmeijer m.fl., 2022) inkluderar knärotens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Johansson, V., Jansson, M. och Bergman, K-O</w:t>
      </w:r>
      <w:r>
        <w:rPr>
          <w:i/>
        </w:rPr>
        <w:t>.</w:t>
      </w:r>
      <w:r>
        <w:t>, 2026.</w:t>
      </w:r>
      <w:r>
        <w:rPr>
          <w:i/>
        </w:rPr>
        <w:t xml:space="preserve"> A 30-year population decline of a threatened forest orchid associated with old growth forests</w:t>
      </w:r>
      <w:r>
        <w:t>. Department of Physics, Chemistry and Biology (IFM), Linköping University.</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2026-10-24</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