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9092-2025 i Sala kommun</w:t>
      </w:r>
    </w:p>
    <w:p>
      <w:r>
        <w:t>Detta dokument behandlar höga naturvärden i avverkningsanmälan A 9092-2025 i Sala kommun. Denna avverkningsanmälan inkom 2025-02-25 16:16:11 och omfattar 11,0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ask (EN), grangråticka (VU), gyllenspindling (VU), dofttaggsvamp (NT), orange taggsvamp (NT), anisspindling (S) och fjällig taggsvamp s.str.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9659"/>
            <wp:docPr id="1" name="Picture 1"/>
            <wp:cNvGraphicFramePr>
              <a:graphicFrameLocks noChangeAspect="1"/>
            </wp:cNvGraphicFramePr>
            <a:graphic>
              <a:graphicData uri="http://schemas.openxmlformats.org/drawingml/2006/picture">
                <pic:pic>
                  <pic:nvPicPr>
                    <pic:cNvPr id="0" name="A 9092-2025 karta.png"/>
                    <pic:cNvPicPr/>
                  </pic:nvPicPr>
                  <pic:blipFill>
                    <a:blip r:embed="rId16"/>
                    <a:stretch>
                      <a:fillRect/>
                    </a:stretch>
                  </pic:blipFill>
                  <pic:spPr>
                    <a:xfrm>
                      <a:off x="0" y="0"/>
                      <a:ext cx="5486400" cy="6629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6651788, E 592231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Gyllenspindling (VU)</w:t>
      </w:r>
      <w:r>
        <w:t xml:space="preserve"> bildar mykorrhiza med gran i ängsgranskog på kalkrik mark, mer sällan med tall i kalktallskog. Minskningstakten uppgår till 30 % inom 50 år och överstiger gränsvärdet för Sårbar (VU) enligt A-kriteriet. Skogsbruk med kalavverkning, markberedning etc. är ogynnsamt för arten. Barrskog på kalkrik mark är en synnerligen skyddsvärd biotop varav fler områden behöver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