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avverkningsanmälan A 12276-2023 i Sala kommun. Denna avverkningsanmälan inkom 2023-03-10 00:00:00 och omfattar 28,6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laxporing (VU), rynkskinn (VU), smal skuggbagge (VU), tallbarksvartbagge (VU), ulltickeporing (VU), vågticka (VU), gransotdyna (NT), granvivel (NT), gränsticka (NT), mindre hackspett (NT, §4), motaggsvamp (NT), spillkråka (NT, §4), svartvit taggsvamp (NT), såpfingersvamp (NT), tallticka (NT), talltita (NT, §4), ullticka (NT), vedtrappmossa (NT), björksplintborre (S), brandticka (S), bronshjon (S), ljus vedstrit (S), mindre märgborre (S), platt fjädermossa (S), skarp dropptaggsvamp (S), thomsons trägnagare (S), Thymalus limbatus (S), vanlig flatbagge (S), vedticka (S), vågbandad barkbock (S), tjäder (§4) och mindre vattensalamander (§6).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47579"/>
            <wp:docPr id="1" name="Picture 1"/>
            <wp:cNvGraphicFramePr>
              <a:graphicFrameLocks noChangeAspect="1"/>
            </wp:cNvGraphicFramePr>
            <a:graphic>
              <a:graphicData uri="http://schemas.openxmlformats.org/drawingml/2006/picture">
                <pic:pic>
                  <pic:nvPicPr>
                    <pic:cNvPr id="0" name="A 12276-2023 karta.png"/>
                    <pic:cNvPicPr/>
                  </pic:nvPicPr>
                  <pic:blipFill>
                    <a:blip r:embed="rId16"/>
                    <a:stretch>
                      <a:fillRect/>
                    </a:stretch>
                  </pic:blipFill>
                  <pic:spPr>
                    <a:xfrm>
                      <a:off x="0" y="0"/>
                      <a:ext cx="5486400" cy="34475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 skuggbagge (VU)</w:t>
      </w:r>
      <w:r>
        <w:t xml:space="preserve"> omfattas av EU:s art- och habitatdirektiv där dess bevarandestatus är dålig med negativ trend. Larvutvecklingen sker under bark på nyligen döda träd, främst stående döda tallar som varit döda 3–6 år och angripna av blånadssvampen </w:t>
      </w:r>
      <w:r>
        <w:rPr>
          <w:i/>
        </w:rPr>
        <w:t>Ophiostoma pini</w:t>
      </w:r>
      <w:r>
        <w:t>. Arten är nästan uteslutande funnen i gamla skogsbestånd med höga naturvärden, och har förmodligen mycket svårt att klara modernt skogsbruk. Förvaltningsarbetet bör fokusera på återställandet av tillräcklig mängd död ved av tillräckligt hög kvalitet, särskilt viktigt är det med permanent och kontinuerlig tillgång på döda stående träd av tall med stor diameter och kvarsittande bark. Dessa villkor kan troligen endast uppnås under strikt skydd. Arten är rödlistad som sårbar (VU) på den europeiska rödlistan och omfattas av ett åtgärdsprogram för hotade arter (ÅGP) (SLU Artdatabanken, 2024; Zinko &amp; Vernerback 2018; Pettersson, 2014; Gutowski m.fl. 2014; IUCN, 2010).</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Tallbarksvartbagge (VU) </w:t>
      </w:r>
      <w:r>
        <w:t>är en skalbagge vars larvutveckling sker i gångsystemen av olika barkborrar på barrträd. De nutida fynden är främst gjorda på tall hos den mindre märgborren, skarptandad och tolvtandad barkborre. Arten är främst knuten till värdefulla, gamla naturskogar av tall. På grund av att de få lokaler, som arten fortfarande finns på, är areellt begränsade och delvis har dåligt skydd föreligger en stor risk att successionen av nyligen döda tallar bryts och arten försvinner från regionen, vilket förmodligen redan skett över en stor del av artens forna utbredningsområde. Det är viktigt att skydda de få återstående lokalerna för arten och se till att det finns en kontinuitet av döda tallar inom dessa områden. Tallbarksvartbagge ingår i ett åtgärdsprogram för hotade arter (ÅGP) (SLU Artdatabanken, 2024; Pettersson, 2014).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tjäder (§4) och mindre vattensalamander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66 fyndplatser för knärot registrerade på Artportalen. Figur 2 visar gränserna för buffertzoner på 50 m, som behöver lämnas kring fyndplatserna för att knärotslokalerna inte ska försvinna vid en avverkning. Av det avverkningsanmälda området överlappar 14.24 ha med buffertzonerna och får av detta skäl inte avverkas.</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 karta knärot.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6635077, E 572483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