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26370-2026 i Sala kommun</w:t>
      </w:r>
    </w:p>
    <w:p>
      <w:r>
        <w:t>Detta klagomål behandlar höga naturvärden i avverkningsanmälan A 26370-2026 i Sala kommun som inkom 2026-06-09 och omfattar 1,7 ha.</w:t>
      </w:r>
    </w:p>
    <w:p>
      <w:pPr>
        <w:pStyle w:val="Caption"/>
      </w:pPr>
      <w:r>
        <w:drawing>
          <wp:inline xmlns:a="http://schemas.openxmlformats.org/drawingml/2006/main" xmlns:pic="http://schemas.openxmlformats.org/drawingml/2006/picture">
            <wp:extent cx="5486400" cy="5033913"/>
            <wp:docPr id="1" name="Picture 1"/>
            <wp:cNvGraphicFramePr>
              <a:graphicFrameLocks noChangeAspect="1"/>
            </wp:cNvGraphicFramePr>
            <a:graphic>
              <a:graphicData uri="http://schemas.openxmlformats.org/drawingml/2006/picture">
                <pic:pic>
                  <pic:nvPicPr>
                    <pic:cNvPr id="0" name="A 26370-2026 karta.png"/>
                    <pic:cNvPicPr/>
                  </pic:nvPicPr>
                  <pic:blipFill>
                    <a:blip r:embed="rId16"/>
                    <a:stretch>
                      <a:fillRect/>
                    </a:stretch>
                  </pic:blipFill>
                  <pic:spPr>
                    <a:xfrm>
                      <a:off x="0" y="0"/>
                      <a:ext cx="5486400" cy="5033913"/>
                    </a:xfrm>
                    <a:prstGeom prst="rect"/>
                  </pic:spPr>
                </pic:pic>
              </a:graphicData>
            </a:graphic>
          </wp:inline>
        </w:drawing>
      </w:r>
    </w:p>
    <w:p>
      <w:pPr>
        <w:pStyle w:val="Caption"/>
        <w:spacing w:after="240"/>
      </w:pPr>
      <w:r>
        <w:t>Figur 1. Fyndplatser för naturvårdsarter i och inom 16 meter från avverkningsanmälan. Markörer utan svart kant är placerade på fyndplatsen. Markörer med svart kant är placerade vid sidan av fyndplatsen och har ett svart streck som visar fyndplatsens exakta position. Kartans mittpunktskoordinat är N 6669661, E 592076 i SWEREF 99 TM.</w:t>
      </w:r>
    </w:p>
    <w:p>
      <w:r>
        <w:t>I och inom 16 meter från avverkningsanmälan finns fynd av 10 naturvårdsarter, varav 7 är rödlistade, 1 är fridlyst, 7 är typiska (T) och 2 är signalarter (S): garnlav (VU, T), gul taggsvamp (VU, T), porslinsblå spindling (VU, T), dropptaggsvamp (NT, T), gultoppig fingersvamp (NT), orange taggsvamp (NT, T), skarp dropptaggsvamp (NT), flagellkvastmossa (S, T), olivspindling (S) och blåsippa (T,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 xml:space="preserve">Gul taggsvamp (VU) </w:t>
      </w:r>
      <w:r>
        <w:t xml:space="preserve">bildar mykorrhiza med gran i äldre barrskog med lång kontinuitet. Förekommer på kalkrik eller annan basiskt påverkad mark, ofta i källpåverkade miljöer. Den totala populationen i landet har minskat kraftigt och bedöms fortsätta minska till följd av avverkning av äldre barrskog med lång trädkontinuitet. Minskningstakten överstiger gränsvärdet för sårbar (VU). Arten tål inte en slutavverkning utan kräver ett kontinuerligt äldre trädskikt med gran. Slutavverkning, kraftig gallring och skogsmarksgödsling måste helt undvikas och lokalerna bör skyddas formellt. Gul taggsvamp är typisk art för </w:t>
      </w:r>
      <w:r>
        <w:rPr>
          <w:i/>
        </w:rPr>
        <w:t>9050 Näringsrik granskog</w:t>
      </w:r>
      <w:r>
        <w:t xml:space="preserve"> (SLU Artdatabanken, 2026).</w:t>
      </w:r>
    </w:p>
    <w:p>
      <w:r>
        <w:rPr>
          <w:b/>
        </w:rPr>
        <w:t>Porslinsblå spindling (VU)</w:t>
      </w:r>
      <w:r>
        <w:t xml:space="preserve"> är en mycket bra signalart på skyddsvärda kalkgranskogar där det föreligger långvarig grankontinuitet. Andelen äldre näringsrik granskog minskar i södra Sverige och därför fortsätter arten att minska. Det främsta hotet mot porslinsblå spindling är avverkning av de värdträd som den är helt beroende av. Den är placerad högst upp i Skogsstyrelsens värdepyramid för bedömning av skog med höga naturvärden och äldre granskogar där arten växer bör i möjligaste mån undantas från avverkning. Porslinsblå spindling är typisk art för </w:t>
      </w:r>
      <w:r>
        <w:rPr>
          <w:i/>
        </w:rPr>
        <w:t>9050 Näringsrik granskog</w:t>
      </w:r>
      <w:r>
        <w:t xml:space="preserve"> (SLU Artdatabanken, 2024; Nitare &amp; Skogsstyrelsen, 2019).</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Gultoppig fingersvamp (NT)</w:t>
      </w:r>
      <w:r>
        <w:t xml:space="preserve"> bildar mykorrhiza med gran i örtrik äldre barrskog. Den är något kalkgynnad och föredrar bördiga granskogar av lågörtstyp. Svampen hotas främst av skogsavverkning och tycks försvinna efter slutavverkning, markberedning och plantering. Skogsområden med arten bör undantas från storskaligt skogsbruk. Slutavverkning, kraftig gallring och skogsgödsling måste undvikas, liksom körning med tunga maskiner (SLU Artdatabanken, 2024).</w:t>
      </w:r>
    </w:p>
    <w:p>
      <w:r>
        <w:rPr>
          <w:b/>
        </w:rPr>
        <w:t xml:space="preserve">Orange taggsvamp (NT) </w:t>
      </w:r>
      <w:r>
        <w:t xml:space="preserve">bildar mykorrhiza med både gran och tall och den förekommer främst i äldre barrskogar med kontinuitetsskogskaraktär. Mest frekvent är den i äldre mossrik granskog, men då bara i skogar inom granens naturliga utbredningsområde och i bestånd med långvarig grankontinuitet. Den totala populationen i landet bedöms ha minskat kraftigt och fortsatt kommer att minska då arten är knuten till en produktiv skogsmiljö som successivt avverkas. Arten hotas främst av skogsavverkning och tycks försvinna efter slutavverkning, markberedning och plantering och det är inte känt att arten har återkommit i anlagd skog på tidigare kalmark. Orange taggsvamp är typisk art för </w:t>
      </w:r>
      <w:r>
        <w:rPr>
          <w:i/>
        </w:rPr>
        <w:t>9010 Taiga</w:t>
      </w:r>
      <w:r>
        <w:t xml:space="preserve"> (SLU Artdatabanken, 2024).</w:t>
      </w:r>
    </w:p>
    <w:p>
      <w:r>
        <w:rPr>
          <w:b/>
        </w:rPr>
        <w:t xml:space="preserve">Skarp dropptaggsvamp (NT) </w:t>
      </w:r>
      <w:r>
        <w:t>bildar mykorrhiza med både gran och tall, främst i barrskogar med trädkontinuitet. Arten uppträder dels i näringsrik kalkbarrskog och dels i sur lavtallskog. Kalkbarrskogarna är ofta grandominerade, olikåldriga och skiktade på frisk mark med ett örtrikt vegetationsskikt. Lavtallskogarna är i regel magra, torra, ljusöppna och ofta brandpräglade. Den totala populationen i landet har minskat och bedöms fortsätta minska till följd av avverkning av äldre barrskogar. Arten har begränsad förmåga att återetablera sig efter slutavverkning eller andra storskaliga skogsbruksåtgärder. Det saknas indikationer på att arten långsiktigt kan etablera eller reproducera sig i skogsbestånd som brukas med metoder som trakthyggesbruk, markberedning, gödsling eller föryngring med förädlat plantmaterial. Minskningstakten för den svenska populationen bedöms vara nära gränsvärdet för Sårbar (VU) (SLU Artdatabanken, 2026).</w:t>
      </w:r>
    </w:p>
    <w:p>
      <w:r>
        <w:rPr>
          <w:b/>
        </w:rPr>
        <w:t>Flagellkvastmossa</w:t>
      </w:r>
      <w:r>
        <w:t xml:space="preserve"> förekommer framför allt i tallsumpskog, men finns även i relativt torra gran- och tallskogar. Den signalerar överallt skogsmiljöer med höga naturvärden och indikerar biotoper med rik och kontinuerlig förekomst av död ved i olika nedbrytningsstadier eller barlagd torvjord. Flagellkvastmossa är typisk art för </w:t>
      </w:r>
      <w:r>
        <w:rPr>
          <w:i/>
        </w:rPr>
        <w:t xml:space="preserve">9010 Taiga </w:t>
      </w:r>
      <w:r>
        <w:t>och</w:t>
      </w:r>
      <w:r>
        <w:rPr>
          <w:i/>
        </w:rPr>
        <w:t xml:space="preserve"> 9740 Skogsbevuxen myr </w:t>
      </w:r>
      <w:r>
        <w:t>(SLU Artdatabanken, 2024; Nitare &amp; Skogsstyrelsen, 2019).</w:t>
      </w:r>
    </w:p>
    <w:p>
      <w:r>
        <w:rPr>
          <w:b/>
        </w:rPr>
        <w:t>Olivspindling</w:t>
      </w:r>
      <w:r>
        <w:t xml:space="preserve"> växer uteslutande på näringsrik och kalkhaltig skogsmark där den huvudsakligen bildar mykorrhiza med gran och tall. Svampen är en typisk representant för kalkgranskogens särpräglade och rika svampflora. Kalavverkning är ett hot mot arten, eftersom den sannolikt kräver lång kontinuitet av äldre träd. Populationerna i landet bedöms därför minska beroende på slutavverkning av äldre barrskog på kalkhaltig mark (SLU Artdatabanken, 2024; Nitare &amp; Skogsstyrelsen, 2019).</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10 naturvårdsarter varav 7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