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12276-2023 i Sala kommun</w:t>
      </w:r>
    </w:p>
    <w:p>
      <w:r>
        <w:t>Detta dokument behandlar höga naturvärden i avverkningsanmälan A 12276-2023 i Sala kommun. Denna avverkningsanmälan inkom 2023-03-10 00:00:00 och omfattar 28,6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33 naturvårdsarter hittats: knärot (VU, §8), laxporing (VU), rynkskinn (VU), smal skuggbagge (VU), tallbarksvartbagge (VU), ulltickeporing (VU), vågticka (VU), gransotdyna (NT), granvivel (NT), gränsticka (NT), mindre hackspett (NT, §4), motaggsvamp (NT), spillkråka (NT, §4), svartvit taggsvamp (NT), såpfingersvamp (NT), tallticka (NT), talltita (NT, §4), ullticka (NT), vedtrappmossa (NT), björksplintborre (S), brandticka (S), bronshjon (S), ljus vedstrit (S), mindre märgborre (S), platt fjädermossa (S), skarp dropptaggsvamp (S), thomsons trägnagare (S), Thymalus limbatus (S), vanlig flatbagge (S), vedticka (S), vågbandad barkbock (S), tjäder (§4) och mindre vattensalamander (§6).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7579"/>
            <wp:docPr id="1" name="Picture 1"/>
            <wp:cNvGraphicFramePr>
              <a:graphicFrameLocks noChangeAspect="1"/>
            </wp:cNvGraphicFramePr>
            <a:graphic>
              <a:graphicData uri="http://schemas.openxmlformats.org/drawingml/2006/picture">
                <pic:pic>
                  <pic:nvPicPr>
                    <pic:cNvPr id="0" name="A 12276-2023 karta.png"/>
                    <pic:cNvPicPr/>
                  </pic:nvPicPr>
                  <pic:blipFill>
                    <a:blip r:embed="rId16"/>
                    <a:stretch>
                      <a:fillRect/>
                    </a:stretch>
                  </pic:blipFill>
                  <pic:spPr>
                    <a:xfrm>
                      <a:off x="0" y="0"/>
                      <a:ext cx="5486400" cy="3447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6635077, E 572483 i SWEREF 99 TM.</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Laxporing (VU)</w:t>
      </w:r>
      <w:r>
        <w:t xml:space="preserve"> är knuten till naturskog med stor mängd död ved och kontinuitet på grova lågor. För att klara arten på sikt behövs att ytterligare områden med gammal skog undantas från skogsbruk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Smal skuggbagge (VU)</w:t>
      </w:r>
      <w:r>
        <w:t xml:space="preserve"> omfattas av EU:s art- och habitatdirektiv där dess bevarandestatus är dålig med negativ trend. Larvutvecklingen sker under bark på nyligen döda träd, främst stående döda tallar som varit döda 3–6 år och angripna av blånadssvampen </w:t>
      </w:r>
      <w:r>
        <w:rPr>
          <w:i/>
        </w:rPr>
        <w:t>Ophiostoma pini</w:t>
      </w:r>
      <w:r>
        <w:t>. Arten är nästan uteslutande funnen i gamla skogsbestånd med höga naturvärden, och har förmodligen mycket svårt att klara modernt skogsbruk. Förvaltningsarbetet bör fokusera på återställandet av tillräcklig mängd död ved av tillräckligt hög kvalitet, särskilt viktigt är det med permanent och kontinuerlig tillgång på döda stående träd av tall med stor diameter och kvarsittande bark. Dessa villkor kan troligen endast uppnås under strikt skydd. Arten är rödlistad som sårbar (VU) på den europeiska rödlistan och omfattas av ett åtgärdsprogram för hotade arter (ÅGP) (SLU Artdatabanken, 2024; Zinko &amp; Vernerback 2018; Pettersson, 2014; Gutowski m.fl. 2014; IUCN, 2010).</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Såpfingersvamp (NT) </w:t>
      </w:r>
      <w:r>
        <w:t>är en sällsynt ”toppart” som bildar mykorrhiza med gran i kalkbarrskog, sällsynt även med ek, hassel och bok i kalkrik ädellövskog. Status i landet något oklar men eftersökt och uppenbarligen mycket ovanlig och med liten förekomstarea. All form av skogsavverkning i eller i närheten av växtplatsen som kan påverka lokalens mikroklimat utgör ett hot. Växtplatserna bör skyddas och arten bör eftersökas på nya lokaler i såväl kalkgranskogar som rika ädellövskogar i södra Sverige. Såpfingersvamp är placerad högst upp i Skogsstyrelsens värdepyramid för bedömning av skog med höga naturvärden (SLU Artdatabanken, 2024; Nitare &amp; Skogsstyrelsen, 2019).</w:t>
      </w:r>
    </w:p>
    <w:p>
      <w:r>
        <w:rPr>
          <w:b/>
        </w:rPr>
        <w:t xml:space="preserve">Tallbarksvartbagge (VU) </w:t>
      </w:r>
      <w:r>
        <w:t>är en skalbagge vars larvutveckling sker i gångsystemen av olika barkborrar på barrträd. De nutida fynden är främst gjorda på tall hos den mindre märgborren, skarptandad och tolvtandad barkborre. Arten är främst knuten till värdefulla, gamla naturskogar av tall. På grund av att de få lokaler, som arten fortfarande finns på, är areellt begränsade och delvis har dåligt skydd föreligger en stor risk att successionen av nyligen döda tallar bryts och arten försvinner från regionen, vilket förmodligen redan skett över en stor del av artens forna utbredningsområde. Det är viktigt att skydda de få återstående lokalerna för arten och se till att det finns en kontinuitet av döda tallar inom dessa områden. Tallbarksvartbagge ingår i ett åtgärdsprogram för hotade arter (ÅGP) (SLU Artdatabanken, 2024; Pettersson, 2014).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pPr>
        <w:pStyle w:val="Heading1"/>
      </w:pPr>
      <w:r>
        <w:t>Fridlysta arter</w:t>
      </w:r>
    </w:p>
    <w:p>
      <w:r>
        <w:t>Följande fridlysta arter har sina livsmiljöer och växtplatser i den avverkningsanmälda skogen: knärot (VU, §8), mindre hackspett (NT, §4), spillkråka (NT, §4), talltita (NT, §4), tjäder (§4) och mindre vattensalamander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66 fyndplatser för knärot registrerade på Artportalen. Figur 2 visar gränserna för buffertzoner på 50 m, som behöver lämnas kring fyndplatserna för att knärotslokalerna inte ska försvinna vid en avverkning. Av det avverkningsanmälda området överlappar 14.24 ha med buffertzonerna och får av detta skäl inte avverkas.</w:t>
      </w:r>
    </w:p>
    <w:p>
      <w:pPr>
        <w:pStyle w:val="Caption"/>
      </w:pPr>
      <w:r>
        <w:drawing>
          <wp:inline xmlns:a="http://schemas.openxmlformats.org/drawingml/2006/main" xmlns:pic="http://schemas.openxmlformats.org/drawingml/2006/picture">
            <wp:extent cx="5486400" cy="4089885"/>
            <wp:docPr id="2" name="Picture 2"/>
            <wp:cNvGraphicFramePr>
              <a:graphicFrameLocks noChangeAspect="1"/>
            </wp:cNvGraphicFramePr>
            <a:graphic>
              <a:graphicData uri="http://schemas.openxmlformats.org/drawingml/2006/picture">
                <pic:pic>
                  <pic:nvPicPr>
                    <pic:cNvPr id="0" name="A 12276-2023 karta knärot.png"/>
                    <pic:cNvPicPr/>
                  </pic:nvPicPr>
                  <pic:blipFill>
                    <a:blip r:embed="rId17"/>
                    <a:stretch>
                      <a:fillRect/>
                    </a:stretch>
                  </pic:blipFill>
                  <pic:spPr>
                    <a:xfrm>
                      <a:off x="0" y="0"/>
                      <a:ext cx="5486400" cy="408988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6635077, E 572483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